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804644" w:rsidRPr="00783BB1" w:rsidP="00F1653A" w14:paraId="4E8F830D" w14:textId="57B65CC6">
      <w:pPr>
        <w:pStyle w:val="Header"/>
        <w:jc w:val="center"/>
        <w:rPr>
          <w:rFonts w:asciiTheme="minorHAnsi" w:hAnsiTheme="minorHAnsi" w:cstheme="minorHAnsi"/>
          <w:lang w:val="lv-LV"/>
        </w:rPr>
      </w:pPr>
      <w:r w:rsidRPr="00783BB1">
        <w:rPr>
          <w:rFonts w:asciiTheme="minorHAnsi" w:hAnsiTheme="minorHAnsi" w:cstheme="minorHAnsi"/>
          <w:noProof/>
          <w:lang w:val="lv-LV"/>
        </w:rPr>
        <w:drawing>
          <wp:inline distT="0" distB="0" distL="0" distR="0">
            <wp:extent cx="1287780" cy="1036320"/>
            <wp:effectExtent l="0" t="0" r="0" b="0"/>
            <wp:docPr id="1" name="Picture 1" descr="Latvijas Republikas ģerbo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tvijas Republikas ģerbonis"/>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87780" cy="1036320"/>
                    </a:xfrm>
                    <a:prstGeom prst="rect">
                      <a:avLst/>
                    </a:prstGeom>
                    <a:noFill/>
                    <a:ln>
                      <a:noFill/>
                    </a:ln>
                  </pic:spPr>
                </pic:pic>
              </a:graphicData>
            </a:graphic>
          </wp:inline>
        </w:drawing>
      </w:r>
    </w:p>
    <w:p w:rsidR="00804644" w:rsidRPr="00900C98" w:rsidP="00F1653A" w14:paraId="72A36FFF" w14:textId="77777777">
      <w:pPr>
        <w:pStyle w:val="Header"/>
        <w:jc w:val="center"/>
        <w:rPr>
          <w:rFonts w:asciiTheme="minorHAnsi" w:hAnsiTheme="minorHAnsi" w:cstheme="minorHAnsi"/>
          <w:sz w:val="24"/>
          <w:szCs w:val="24"/>
          <w:lang w:val="lv-LV"/>
        </w:rPr>
      </w:pPr>
      <w:r w:rsidRPr="00900C98">
        <w:rPr>
          <w:rFonts w:asciiTheme="minorHAnsi" w:hAnsiTheme="minorHAnsi" w:cstheme="minorHAnsi"/>
          <w:sz w:val="24"/>
          <w:szCs w:val="24"/>
          <w:lang w:val="lv-LV"/>
        </w:rPr>
        <w:t>L</w:t>
      </w:r>
      <w:r w:rsidRPr="00900C98" w:rsidR="00207BBF">
        <w:rPr>
          <w:rFonts w:asciiTheme="minorHAnsi" w:hAnsiTheme="minorHAnsi" w:cstheme="minorHAnsi"/>
          <w:sz w:val="24"/>
          <w:szCs w:val="24"/>
          <w:lang w:val="lv-LV"/>
        </w:rPr>
        <w:t>atvijas Republikas tiesībsargs</w:t>
      </w:r>
    </w:p>
    <w:p w:rsidR="00F25A26" w:rsidRPr="00783BB1" w:rsidP="00F1653A" w14:paraId="030C8785" w14:textId="77777777">
      <w:pPr>
        <w:pStyle w:val="Header"/>
        <w:spacing w:before="100"/>
        <w:jc w:val="center"/>
        <w:rPr>
          <w:rFonts w:asciiTheme="minorHAnsi" w:hAnsiTheme="minorHAnsi" w:cstheme="minorHAnsi"/>
          <w:sz w:val="26"/>
          <w:szCs w:val="26"/>
          <w:lang w:val="lv-LV"/>
        </w:rPr>
      </w:pPr>
      <w:r>
        <w:rPr>
          <w:rFonts w:asciiTheme="minorHAnsi" w:hAnsiTheme="minorHAnsi" w:cstheme="minorHAnsi"/>
          <w:sz w:val="28"/>
          <w:szCs w:val="28"/>
          <w:lang w:val="lv-LV"/>
        </w:rPr>
        <w:pict>
          <v:rect id="_x0000_i1025" style="width:362.85pt;height:1pt" o:hrpct="800" o:hralign="center" o:hrstd="t" o:hrnoshade="t" o:hr="t" fillcolor="black" stroked="f"/>
        </w:pict>
      </w:r>
    </w:p>
    <w:p w:rsidR="00804644" w:rsidRPr="00783BB1" w:rsidP="00D22EF8" w14:paraId="12B7B2CA" w14:textId="77777777">
      <w:pPr>
        <w:pStyle w:val="Header"/>
        <w:spacing w:before="180" w:after="120"/>
        <w:jc w:val="center"/>
        <w:rPr>
          <w:rFonts w:asciiTheme="minorHAnsi" w:hAnsiTheme="minorHAnsi" w:cstheme="minorHAnsi"/>
          <w:sz w:val="17"/>
          <w:szCs w:val="17"/>
          <w:lang w:val="lv-LV"/>
        </w:rPr>
      </w:pPr>
      <w:r w:rsidRPr="00783BB1">
        <w:rPr>
          <w:rFonts w:asciiTheme="minorHAnsi" w:hAnsiTheme="minorHAnsi" w:cstheme="minorHAnsi"/>
          <w:sz w:val="17"/>
          <w:szCs w:val="17"/>
          <w:lang w:val="lv-LV"/>
        </w:rPr>
        <w:t>Baznīcas iela 25, Rīga, LV-1010</w:t>
      </w:r>
      <w:r w:rsidRPr="00783BB1" w:rsidR="00F1653A">
        <w:rPr>
          <w:rFonts w:asciiTheme="minorHAnsi" w:hAnsiTheme="minorHAnsi" w:cstheme="minorHAnsi"/>
          <w:sz w:val="17"/>
          <w:szCs w:val="17"/>
          <w:lang w:val="lv-LV"/>
        </w:rPr>
        <w:t>, t</w:t>
      </w:r>
      <w:r w:rsidRPr="00783BB1">
        <w:rPr>
          <w:rFonts w:asciiTheme="minorHAnsi" w:hAnsiTheme="minorHAnsi" w:cstheme="minorHAnsi"/>
          <w:sz w:val="17"/>
          <w:szCs w:val="17"/>
          <w:lang w:val="lv-LV"/>
        </w:rPr>
        <w:t>ālr.: 67686768</w:t>
      </w:r>
      <w:r w:rsidRPr="00783BB1" w:rsidR="00F1653A">
        <w:rPr>
          <w:rFonts w:asciiTheme="minorHAnsi" w:hAnsiTheme="minorHAnsi" w:cstheme="minorHAnsi"/>
          <w:sz w:val="17"/>
          <w:szCs w:val="17"/>
          <w:lang w:val="lv-LV"/>
        </w:rPr>
        <w:t>, e</w:t>
      </w:r>
      <w:r w:rsidRPr="00783BB1">
        <w:rPr>
          <w:rFonts w:asciiTheme="minorHAnsi" w:hAnsiTheme="minorHAnsi" w:cstheme="minorHAnsi"/>
          <w:sz w:val="17"/>
          <w:szCs w:val="17"/>
          <w:lang w:val="lv-LV"/>
        </w:rPr>
        <w:t xml:space="preserve">-pasts: </w:t>
      </w:r>
      <w:r w:rsidRPr="00783BB1" w:rsidR="00F1653A">
        <w:rPr>
          <w:rFonts w:asciiTheme="minorHAnsi" w:hAnsiTheme="minorHAnsi" w:cstheme="minorHAnsi"/>
          <w:sz w:val="17"/>
          <w:szCs w:val="17"/>
          <w:lang w:val="lv-LV"/>
        </w:rPr>
        <w:t>tiesibsargs@tiesibsargs.lv, www.tiesibsargs.lv</w:t>
      </w:r>
    </w:p>
    <w:p w:rsidR="00BE4AC1" w:rsidRPr="001A3604" w:rsidP="006A7795" w14:paraId="2C52AF13" w14:textId="77777777">
      <w:pPr>
        <w:pStyle w:val="Header"/>
        <w:jc w:val="center"/>
        <w:rPr>
          <w:rFonts w:asciiTheme="minorHAnsi" w:hAnsiTheme="minorHAnsi" w:cstheme="minorHAnsi"/>
          <w:sz w:val="24"/>
          <w:szCs w:val="24"/>
          <w:lang w:val="lv-LV"/>
        </w:rPr>
      </w:pPr>
      <w:r w:rsidRPr="001A3604">
        <w:rPr>
          <w:rFonts w:asciiTheme="minorHAnsi" w:hAnsiTheme="minorHAnsi" w:cstheme="minorHAnsi"/>
          <w:sz w:val="24"/>
          <w:szCs w:val="24"/>
          <w:lang w:val="lv-LV"/>
        </w:rPr>
        <w:t>Rīgā</w:t>
      </w:r>
    </w:p>
    <w:p w:rsidR="00BE4AC1" w:rsidRPr="001A3604" w:rsidP="006A7795" w14:paraId="7B134583" w14:textId="77777777">
      <w:pPr>
        <w:pStyle w:val="Header"/>
        <w:spacing w:before="240" w:line="360" w:lineRule="auto"/>
        <w:rPr>
          <w:rFonts w:asciiTheme="minorHAnsi" w:hAnsiTheme="minorHAnsi" w:cstheme="minorHAnsi"/>
          <w:sz w:val="24"/>
          <w:szCs w:val="24"/>
          <w:lang w:val="lv-LV"/>
        </w:rPr>
      </w:pPr>
      <w:r w:rsidRPr="001A3604">
        <w:rPr>
          <w:rFonts w:asciiTheme="minorHAnsi" w:hAnsiTheme="minorHAnsi" w:cstheme="minorHAnsi"/>
          <w:noProof/>
          <w:sz w:val="24"/>
          <w:szCs w:val="24"/>
          <w:lang w:val="lv-LV"/>
        </w:rPr>
        <w:t>Datums skatāms laika zīmogā</w:t>
      </w:r>
      <w:r w:rsidRPr="001A3604" w:rsidR="00B25F20">
        <w:rPr>
          <w:rFonts w:asciiTheme="minorHAnsi" w:hAnsiTheme="minorHAnsi" w:cstheme="minorHAnsi"/>
          <w:sz w:val="24"/>
          <w:szCs w:val="24"/>
          <w:lang w:val="lv-LV"/>
        </w:rPr>
        <w:t xml:space="preserve"> Nr.</w:t>
      </w:r>
      <w:r w:rsidRPr="001A3604">
        <w:rPr>
          <w:rFonts w:asciiTheme="minorHAnsi" w:hAnsiTheme="minorHAnsi" w:cstheme="minorHAnsi"/>
          <w:sz w:val="24"/>
          <w:szCs w:val="24"/>
          <w:lang w:val="lv-LV"/>
        </w:rPr>
        <w:t xml:space="preserve"> </w:t>
      </w:r>
      <w:r w:rsidRPr="001A3604">
        <w:rPr>
          <w:rFonts w:asciiTheme="minorHAnsi" w:hAnsiTheme="minorHAnsi" w:cstheme="minorHAnsi"/>
          <w:noProof/>
          <w:sz w:val="24"/>
          <w:szCs w:val="24"/>
          <w:lang w:val="lv-LV"/>
        </w:rPr>
        <w:t>1-8/33</w:t>
      </w:r>
    </w:p>
    <w:p w:rsidR="00BE4AC1" w:rsidP="00676386" w14:paraId="2D5EBC16" w14:textId="77777777">
      <w:pPr>
        <w:pStyle w:val="Header"/>
        <w:spacing w:line="360" w:lineRule="auto"/>
        <w:rPr>
          <w:rFonts w:asciiTheme="minorHAnsi" w:hAnsiTheme="minorHAnsi" w:cstheme="minorHAnsi"/>
          <w:sz w:val="24"/>
          <w:szCs w:val="24"/>
          <w:lang w:val="lv-LV"/>
        </w:rPr>
      </w:pPr>
      <w:r w:rsidRPr="001A3604">
        <w:rPr>
          <w:rFonts w:asciiTheme="minorHAnsi" w:hAnsiTheme="minorHAnsi" w:cstheme="minorHAnsi"/>
          <w:sz w:val="24"/>
          <w:szCs w:val="24"/>
          <w:lang w:val="lv-LV"/>
        </w:rPr>
        <w:t>Uz</w:t>
      </w:r>
      <w:r w:rsidRPr="001A3604" w:rsidR="00E11847">
        <w:rPr>
          <w:rFonts w:asciiTheme="minorHAnsi" w:hAnsiTheme="minorHAnsi" w:cstheme="minorHAnsi"/>
          <w:sz w:val="24"/>
          <w:szCs w:val="24"/>
          <w:lang w:val="lv-LV"/>
        </w:rPr>
        <w:t xml:space="preserve"> </w:t>
      </w:r>
      <w:r w:rsidRPr="001A3604" w:rsidR="00E11847">
        <w:rPr>
          <w:rFonts w:asciiTheme="minorHAnsi" w:hAnsiTheme="minorHAnsi" w:cstheme="minorHAnsi"/>
          <w:noProof/>
          <w:sz w:val="24"/>
          <w:szCs w:val="24"/>
          <w:lang w:val="lv-LV"/>
        </w:rPr>
        <w:t>27.11.2025</w:t>
      </w:r>
      <w:r w:rsidRPr="001A3604" w:rsidR="00E11847">
        <w:rPr>
          <w:rFonts w:asciiTheme="minorHAnsi" w:hAnsiTheme="minorHAnsi" w:cstheme="minorHAnsi"/>
          <w:sz w:val="24"/>
          <w:szCs w:val="24"/>
          <w:lang w:val="lv-LV"/>
        </w:rPr>
        <w:t xml:space="preserve"> </w:t>
      </w:r>
      <w:r w:rsidRPr="001A3604" w:rsidR="00E11847">
        <w:rPr>
          <w:rFonts w:asciiTheme="minorHAnsi" w:hAnsiTheme="minorHAnsi" w:cstheme="minorHAnsi"/>
          <w:noProof/>
          <w:sz w:val="24"/>
          <w:szCs w:val="24"/>
          <w:lang w:val="lv-LV"/>
        </w:rPr>
        <w:t>142.1.9/3-89-14/25</w:t>
      </w:r>
    </w:p>
    <w:p w:rsidR="00BE4AC1" w:rsidP="00BE4AC1" w14:paraId="26625775" w14:textId="4CB686C7">
      <w:pPr>
        <w:pStyle w:val="Header"/>
        <w:jc w:val="right"/>
        <w:rPr>
          <w:rFonts w:asciiTheme="minorHAnsi" w:hAnsiTheme="minorHAnsi" w:cstheme="minorHAnsi"/>
          <w:b/>
          <w:noProof/>
          <w:sz w:val="24"/>
          <w:szCs w:val="24"/>
          <w:lang w:val="lv-LV"/>
        </w:rPr>
      </w:pPr>
      <w:r w:rsidRPr="001A3604">
        <w:rPr>
          <w:rFonts w:asciiTheme="minorHAnsi" w:hAnsiTheme="minorHAnsi" w:cstheme="minorHAnsi"/>
          <w:b/>
          <w:noProof/>
          <w:sz w:val="24"/>
          <w:szCs w:val="24"/>
          <w:lang w:val="lv-LV"/>
        </w:rPr>
        <w:t>Latvijas Republikas Saeima</w:t>
      </w:r>
      <w:r w:rsidR="00C55393">
        <w:rPr>
          <w:rFonts w:asciiTheme="minorHAnsi" w:hAnsiTheme="minorHAnsi" w:cstheme="minorHAnsi"/>
          <w:b/>
          <w:noProof/>
          <w:sz w:val="24"/>
          <w:szCs w:val="24"/>
          <w:lang w:val="lv-LV"/>
        </w:rPr>
        <w:t>s</w:t>
      </w:r>
    </w:p>
    <w:p w:rsidR="00C55393" w:rsidRPr="001A3604" w:rsidP="00C55393" w14:paraId="4CAC143F" w14:textId="77777777">
      <w:pPr>
        <w:pStyle w:val="Header"/>
        <w:jc w:val="right"/>
        <w:rPr>
          <w:rFonts w:asciiTheme="minorHAnsi" w:hAnsiTheme="minorHAnsi" w:cstheme="minorHAnsi"/>
          <w:b/>
          <w:sz w:val="24"/>
          <w:szCs w:val="24"/>
          <w:lang w:val="lv-LV"/>
        </w:rPr>
      </w:pPr>
      <w:r>
        <w:rPr>
          <w:rFonts w:asciiTheme="minorHAnsi" w:hAnsiTheme="minorHAnsi" w:cstheme="minorHAnsi"/>
          <w:b/>
          <w:bCs/>
          <w:iCs/>
          <w:sz w:val="24"/>
          <w:szCs w:val="24"/>
          <w:lang w:val="lv-LV"/>
        </w:rPr>
        <w:t>Juridiskajai</w:t>
      </w:r>
      <w:r w:rsidRPr="00E46C6B">
        <w:rPr>
          <w:rFonts w:asciiTheme="minorHAnsi" w:hAnsiTheme="minorHAnsi" w:cstheme="minorHAnsi"/>
          <w:b/>
          <w:bCs/>
          <w:iCs/>
          <w:sz w:val="24"/>
          <w:szCs w:val="24"/>
          <w:lang w:val="lv-LV"/>
        </w:rPr>
        <w:t xml:space="preserve"> komisijai</w:t>
      </w:r>
    </w:p>
    <w:p w:rsidR="00BE4AC1" w:rsidRPr="001A3604" w:rsidP="00BE4AC1" w14:paraId="1D43949A" w14:textId="77777777">
      <w:pPr>
        <w:pStyle w:val="Header"/>
        <w:jc w:val="right"/>
        <w:rPr>
          <w:rFonts w:asciiTheme="minorHAnsi" w:hAnsiTheme="minorHAnsi" w:cstheme="minorHAnsi"/>
          <w:sz w:val="24"/>
          <w:szCs w:val="24"/>
          <w:lang w:val="lv-LV"/>
        </w:rPr>
      </w:pPr>
      <w:r w:rsidRPr="001A3604">
        <w:rPr>
          <w:rFonts w:asciiTheme="minorHAnsi" w:hAnsiTheme="minorHAnsi" w:cstheme="minorHAnsi"/>
          <w:noProof/>
          <w:sz w:val="24"/>
          <w:szCs w:val="24"/>
          <w:lang w:val="lv-LV"/>
        </w:rPr>
        <w:t>saeima@saeima.lv</w:t>
      </w:r>
    </w:p>
    <w:p w:rsidR="00C55393" w:rsidP="001E2923" w14:paraId="45A81ED2" w14:textId="552F6F35">
      <w:pPr>
        <w:pStyle w:val="Header"/>
        <w:tabs>
          <w:tab w:val="center" w:pos="709"/>
          <w:tab w:val="clear" w:pos="4153"/>
        </w:tabs>
        <w:spacing w:before="240" w:line="360" w:lineRule="auto"/>
        <w:rPr>
          <w:rFonts w:asciiTheme="minorHAnsi" w:hAnsiTheme="minorHAnsi" w:cstheme="minorHAnsi"/>
          <w:b/>
          <w:bCs/>
          <w:iCs/>
          <w:noProof/>
          <w:sz w:val="24"/>
          <w:szCs w:val="24"/>
          <w:lang w:val="lv-LV"/>
        </w:rPr>
      </w:pPr>
      <w:r w:rsidRPr="00C55393">
        <w:rPr>
          <w:rFonts w:asciiTheme="minorHAnsi" w:hAnsiTheme="minorHAnsi" w:cstheme="minorHAnsi"/>
          <w:b/>
          <w:bCs/>
          <w:iCs/>
          <w:noProof/>
          <w:sz w:val="24"/>
          <w:szCs w:val="24"/>
          <w:lang w:val="lv-LV"/>
        </w:rPr>
        <w:t xml:space="preserve">Par </w:t>
      </w:r>
      <w:r w:rsidR="00C376B5">
        <w:rPr>
          <w:rFonts w:asciiTheme="minorHAnsi" w:hAnsiTheme="minorHAnsi" w:cstheme="minorHAnsi"/>
          <w:b/>
          <w:bCs/>
          <w:iCs/>
          <w:noProof/>
          <w:sz w:val="24"/>
          <w:szCs w:val="24"/>
          <w:lang w:val="lv-LV"/>
        </w:rPr>
        <w:t xml:space="preserve">likumprojektu “Grozījumi </w:t>
      </w:r>
      <w:r w:rsidRPr="00C55393">
        <w:rPr>
          <w:rFonts w:asciiTheme="minorHAnsi" w:hAnsiTheme="minorHAnsi" w:cstheme="minorHAnsi"/>
          <w:b/>
          <w:bCs/>
          <w:iCs/>
          <w:noProof/>
          <w:sz w:val="24"/>
          <w:szCs w:val="24"/>
          <w:lang w:val="lv-LV"/>
        </w:rPr>
        <w:t>Krimināllikum</w:t>
      </w:r>
      <w:r w:rsidR="00C376B5">
        <w:rPr>
          <w:rFonts w:asciiTheme="minorHAnsi" w:hAnsiTheme="minorHAnsi" w:cstheme="minorHAnsi"/>
          <w:b/>
          <w:bCs/>
          <w:iCs/>
          <w:noProof/>
          <w:sz w:val="24"/>
          <w:szCs w:val="24"/>
          <w:lang w:val="lv-LV"/>
        </w:rPr>
        <w:t>ā”</w:t>
      </w:r>
      <w:r w:rsidRPr="00C55393">
        <w:rPr>
          <w:rFonts w:asciiTheme="minorHAnsi" w:hAnsiTheme="minorHAnsi" w:cstheme="minorHAnsi"/>
          <w:b/>
          <w:bCs/>
          <w:iCs/>
          <w:noProof/>
          <w:sz w:val="24"/>
          <w:szCs w:val="24"/>
          <w:lang w:val="lv-LV"/>
        </w:rPr>
        <w:t xml:space="preserve"> </w:t>
      </w:r>
      <w:r w:rsidR="00C376B5">
        <w:rPr>
          <w:rFonts w:asciiTheme="minorHAnsi" w:hAnsiTheme="minorHAnsi" w:cstheme="minorHAnsi"/>
          <w:b/>
          <w:bCs/>
          <w:iCs/>
          <w:noProof/>
          <w:sz w:val="24"/>
          <w:szCs w:val="24"/>
          <w:lang w:val="lv-LV"/>
        </w:rPr>
        <w:t>(</w:t>
      </w:r>
      <w:r w:rsidRPr="00C55393">
        <w:rPr>
          <w:rFonts w:asciiTheme="minorHAnsi" w:hAnsiTheme="minorHAnsi" w:cstheme="minorHAnsi"/>
          <w:b/>
          <w:bCs/>
          <w:iCs/>
          <w:noProof/>
          <w:sz w:val="24"/>
          <w:szCs w:val="24"/>
          <w:lang w:val="lv-LV"/>
        </w:rPr>
        <w:t>Nr.1050</w:t>
      </w:r>
      <w:r w:rsidR="00C376B5">
        <w:rPr>
          <w:rFonts w:asciiTheme="minorHAnsi" w:hAnsiTheme="minorHAnsi" w:cstheme="minorHAnsi"/>
          <w:b/>
          <w:bCs/>
          <w:iCs/>
          <w:noProof/>
          <w:sz w:val="24"/>
          <w:szCs w:val="24"/>
          <w:lang w:val="lv-LV"/>
        </w:rPr>
        <w:t>/</w:t>
      </w:r>
      <w:r w:rsidRPr="00C55393">
        <w:rPr>
          <w:rFonts w:asciiTheme="minorHAnsi" w:hAnsiTheme="minorHAnsi" w:cstheme="minorHAnsi"/>
          <w:b/>
          <w:bCs/>
          <w:iCs/>
          <w:noProof/>
          <w:sz w:val="24"/>
          <w:szCs w:val="24"/>
          <w:lang w:val="lv-LV"/>
        </w:rPr>
        <w:t>Lp14</w:t>
      </w:r>
      <w:r w:rsidR="00C376B5">
        <w:rPr>
          <w:rFonts w:asciiTheme="minorHAnsi" w:hAnsiTheme="minorHAnsi" w:cstheme="minorHAnsi"/>
          <w:b/>
          <w:bCs/>
          <w:iCs/>
          <w:noProof/>
          <w:sz w:val="24"/>
          <w:szCs w:val="24"/>
          <w:lang w:val="lv-LV"/>
        </w:rPr>
        <w:t>)</w:t>
      </w:r>
    </w:p>
    <w:p w:rsidR="00C55393" w:rsidRPr="0051481D" w:rsidP="008E3445" w14:paraId="6B45A60D" w14:textId="54363226">
      <w:pPr>
        <w:spacing w:before="240" w:line="360" w:lineRule="auto"/>
        <w:rPr>
          <w:rFonts w:ascii="Calibri" w:hAnsi="Calibri" w:cs="Calibri"/>
          <w:sz w:val="24"/>
          <w:szCs w:val="24"/>
        </w:rPr>
      </w:pPr>
      <w:r w:rsidRPr="0051481D">
        <w:rPr>
          <w:rFonts w:ascii="Calibri" w:hAnsi="Calibri" w:cs="Calibri"/>
          <w:sz w:val="24"/>
          <w:szCs w:val="24"/>
        </w:rPr>
        <w:t>Atbildot uz Saeimas Juridiskās komisijas vēstuli Nr. 142.1.9/3-89-14/25, sniedzu viedokli par deputātu iesniegto likumprojektu "Grozījumi Krimināllikumā" (Nr.1050/Lp14).</w:t>
      </w:r>
    </w:p>
    <w:p w:rsidR="00C55393" w:rsidRPr="00642290" w:rsidP="008E3445" w14:paraId="6A001FA8" w14:textId="77777777">
      <w:pPr>
        <w:pStyle w:val="Heading1"/>
      </w:pPr>
      <w:r w:rsidRPr="00642290">
        <w:t>Grozījumu saturs</w:t>
      </w:r>
    </w:p>
    <w:p w:rsidR="00C55393" w:rsidP="008E3445" w14:paraId="21CB4F44" w14:textId="4A0DB492">
      <w:pPr>
        <w:spacing w:before="240" w:line="360" w:lineRule="auto"/>
        <w:rPr>
          <w:rFonts w:ascii="Calibri" w:hAnsi="Calibri" w:cs="Calibri"/>
          <w:sz w:val="24"/>
          <w:szCs w:val="24"/>
        </w:rPr>
      </w:pPr>
      <w:r>
        <w:rPr>
          <w:rFonts w:ascii="Calibri" w:hAnsi="Calibri" w:cs="Calibri"/>
          <w:sz w:val="24"/>
          <w:szCs w:val="24"/>
        </w:rPr>
        <w:t>[1] Deputātu iniciētais l</w:t>
      </w:r>
      <w:r w:rsidRPr="00722207">
        <w:rPr>
          <w:rFonts w:ascii="Calibri" w:hAnsi="Calibri" w:cs="Calibri"/>
          <w:sz w:val="24"/>
          <w:szCs w:val="24"/>
        </w:rPr>
        <w:t>ikumprojekts paredz papildināt Krimināllikum</w:t>
      </w:r>
      <w:r>
        <w:rPr>
          <w:rFonts w:ascii="Calibri" w:hAnsi="Calibri" w:cs="Calibri"/>
          <w:sz w:val="24"/>
          <w:szCs w:val="24"/>
        </w:rPr>
        <w:t xml:space="preserve">a XIII nodaļu </w:t>
      </w:r>
      <w:r w:rsidRPr="00722207">
        <w:rPr>
          <w:rFonts w:ascii="Calibri" w:hAnsi="Calibri" w:cs="Calibri"/>
          <w:sz w:val="24"/>
          <w:szCs w:val="24"/>
        </w:rPr>
        <w:t>“Noziedzīgi nodarījumi pret personas veselību” ar jauniem pantiem, paredzot kriminālatbildību</w:t>
      </w:r>
      <w:r>
        <w:rPr>
          <w:rFonts w:ascii="Calibri" w:hAnsi="Calibri" w:cs="Calibri"/>
          <w:sz w:val="24"/>
          <w:szCs w:val="24"/>
        </w:rPr>
        <w:t xml:space="preserve"> par bērna medicīnisku dzimuma maiņu, izmantojot </w:t>
      </w:r>
      <w:r w:rsidRPr="00722207">
        <w:rPr>
          <w:rFonts w:ascii="Calibri" w:hAnsi="Calibri" w:cs="Calibri"/>
          <w:sz w:val="24"/>
          <w:szCs w:val="24"/>
        </w:rPr>
        <w:t>pubertātes bloķēšanu</w:t>
      </w:r>
      <w:r>
        <w:rPr>
          <w:rFonts w:ascii="Calibri" w:hAnsi="Calibri" w:cs="Calibri"/>
          <w:sz w:val="24"/>
          <w:szCs w:val="24"/>
        </w:rPr>
        <w:t xml:space="preserve">, </w:t>
      </w:r>
      <w:r w:rsidRPr="00722207">
        <w:rPr>
          <w:rFonts w:ascii="Calibri" w:hAnsi="Calibri" w:cs="Calibri"/>
          <w:sz w:val="24"/>
          <w:szCs w:val="24"/>
        </w:rPr>
        <w:t>kros</w:t>
      </w:r>
      <w:r>
        <w:rPr>
          <w:rFonts w:ascii="Calibri" w:hAnsi="Calibri" w:cs="Calibri"/>
          <w:sz w:val="24"/>
          <w:szCs w:val="24"/>
        </w:rPr>
        <w:t xml:space="preserve">s – </w:t>
      </w:r>
      <w:r w:rsidRPr="00722207">
        <w:rPr>
          <w:rFonts w:ascii="Calibri" w:hAnsi="Calibri" w:cs="Calibri"/>
          <w:sz w:val="24"/>
          <w:szCs w:val="24"/>
        </w:rPr>
        <w:t>hormonāl</w:t>
      </w:r>
      <w:r>
        <w:rPr>
          <w:rFonts w:ascii="Calibri" w:hAnsi="Calibri" w:cs="Calibri"/>
          <w:sz w:val="24"/>
          <w:szCs w:val="24"/>
        </w:rPr>
        <w:t xml:space="preserve">o </w:t>
      </w:r>
      <w:r w:rsidRPr="00722207">
        <w:rPr>
          <w:rFonts w:ascii="Calibri" w:hAnsi="Calibri" w:cs="Calibri"/>
          <w:sz w:val="24"/>
          <w:szCs w:val="24"/>
        </w:rPr>
        <w:t>terapij</w:t>
      </w:r>
      <w:r>
        <w:rPr>
          <w:rFonts w:ascii="Calibri" w:hAnsi="Calibri" w:cs="Calibri"/>
          <w:sz w:val="24"/>
          <w:szCs w:val="24"/>
        </w:rPr>
        <w:t xml:space="preserve">u vai veicot ķirurģiskas manipulācijas, tostarp bērna pamudināšanu vai novešanu līdz dzimuma maiņai. Lai gan likumprojekts konkrēti nenosaka, kuras personas būtu saucamas pie kriminālatbildības, no anotācijas izriet, ka kriminālatbildība ir paredzēta tikai pilngadīgām personām. </w:t>
      </w:r>
    </w:p>
    <w:p w:rsidR="00C55393" w:rsidP="008E3445" w14:paraId="0FACB860" w14:textId="77777777">
      <w:pPr>
        <w:spacing w:before="240" w:line="360" w:lineRule="auto"/>
        <w:rPr>
          <w:rFonts w:ascii="Calibri" w:hAnsi="Calibri" w:cs="Calibri"/>
          <w:sz w:val="24"/>
          <w:szCs w:val="24"/>
        </w:rPr>
      </w:pPr>
      <w:r w:rsidRPr="009458FD">
        <w:rPr>
          <w:rFonts w:ascii="Calibri" w:hAnsi="Calibri" w:cs="Calibri"/>
          <w:sz w:val="24"/>
          <w:szCs w:val="24"/>
        </w:rPr>
        <w:t>Grozījumu anotācijā norādīts, ka nav pieļaujams, ka nepastāv valsts līmeņa vadlīnijas, regulējums vai neatkarīga pārraudzība, tādēļ ir nepieciešams ieviest regulējumu, kas nepieļautu bērniem nozīmēt tādas medicīniskas manipulācijas, kuras nav pierādījumos balstītas un kas var radīt bērniem neatgriezeniskus ķermeņa bojājumus.</w:t>
      </w:r>
    </w:p>
    <w:p w:rsidR="00C55393" w:rsidRPr="00722207" w:rsidP="008E3445" w14:paraId="7029F817" w14:textId="77777777">
      <w:pPr>
        <w:pStyle w:val="Heading1"/>
      </w:pPr>
      <w:r w:rsidRPr="00722207">
        <w:t xml:space="preserve">Bērnu dzimumu maiņas medicīniskās manipulācijas </w:t>
      </w:r>
    </w:p>
    <w:p w:rsidR="00C55393" w:rsidP="008E3445" w14:paraId="151F738F" w14:textId="77777777">
      <w:pPr>
        <w:tabs>
          <w:tab w:val="num" w:pos="720"/>
        </w:tabs>
        <w:spacing w:before="240" w:line="360" w:lineRule="auto"/>
        <w:rPr>
          <w:rFonts w:ascii="Calibri" w:hAnsi="Calibri" w:cs="Calibri"/>
          <w:sz w:val="24"/>
          <w:szCs w:val="24"/>
        </w:rPr>
      </w:pPr>
      <w:r>
        <w:rPr>
          <w:rFonts w:ascii="Calibri" w:hAnsi="Calibri" w:cs="Calibri"/>
          <w:sz w:val="24"/>
          <w:szCs w:val="24"/>
        </w:rPr>
        <w:t>[2] Vēsturiski palīdzība bērniem ar d</w:t>
      </w:r>
      <w:r w:rsidRPr="00634970">
        <w:rPr>
          <w:rFonts w:ascii="Calibri" w:hAnsi="Calibri" w:cs="Calibri"/>
          <w:sz w:val="24"/>
          <w:szCs w:val="24"/>
        </w:rPr>
        <w:t xml:space="preserve">zimumidentitātes </w:t>
      </w:r>
      <w:r>
        <w:rPr>
          <w:rFonts w:ascii="Calibri" w:hAnsi="Calibri" w:cs="Calibri"/>
          <w:sz w:val="24"/>
          <w:szCs w:val="24"/>
        </w:rPr>
        <w:t xml:space="preserve">traucējumiem izpaudās kā </w:t>
      </w:r>
      <w:r w:rsidRPr="00634970">
        <w:rPr>
          <w:rFonts w:ascii="Calibri" w:hAnsi="Calibri" w:cs="Calibri"/>
          <w:sz w:val="24"/>
          <w:szCs w:val="24"/>
        </w:rPr>
        <w:t xml:space="preserve">augsti specializēti </w:t>
      </w:r>
      <w:r w:rsidRPr="00634970">
        <w:rPr>
          <w:rFonts w:ascii="Calibri" w:hAnsi="Calibri" w:cs="Calibri"/>
          <w:sz w:val="24"/>
          <w:szCs w:val="24"/>
        </w:rPr>
        <w:t>psihosociāli</w:t>
      </w:r>
      <w:r w:rsidRPr="00634970">
        <w:rPr>
          <w:rFonts w:ascii="Calibri" w:hAnsi="Calibri" w:cs="Calibri"/>
          <w:sz w:val="24"/>
          <w:szCs w:val="24"/>
        </w:rPr>
        <w:t xml:space="preserve"> pakalpojumi, kas galvenokārt bija vērsti uz </w:t>
      </w:r>
      <w:r w:rsidRPr="00634970">
        <w:rPr>
          <w:rFonts w:ascii="Calibri" w:hAnsi="Calibri" w:cs="Calibri"/>
          <w:sz w:val="24"/>
          <w:szCs w:val="24"/>
        </w:rPr>
        <w:t>pirmspubertātes</w:t>
      </w:r>
      <w:r w:rsidRPr="00634970">
        <w:rPr>
          <w:rFonts w:ascii="Calibri" w:hAnsi="Calibri" w:cs="Calibri"/>
          <w:sz w:val="24"/>
          <w:szCs w:val="24"/>
        </w:rPr>
        <w:t xml:space="preserve"> vecuma </w:t>
      </w:r>
      <w:r>
        <w:rPr>
          <w:rFonts w:ascii="Calibri" w:hAnsi="Calibri" w:cs="Calibri"/>
          <w:sz w:val="24"/>
          <w:szCs w:val="24"/>
        </w:rPr>
        <w:t xml:space="preserve">vīriešu dzimuma </w:t>
      </w:r>
      <w:r w:rsidRPr="00634970">
        <w:rPr>
          <w:rFonts w:ascii="Calibri" w:hAnsi="Calibri" w:cs="Calibri"/>
          <w:sz w:val="24"/>
          <w:szCs w:val="24"/>
        </w:rPr>
        <w:t>bērniem, ar ļoti nelielu pacientu skaitu un minimālu medicīnisku iejaukšanos</w:t>
      </w:r>
      <w:r>
        <w:rPr>
          <w:rFonts w:ascii="Calibri" w:hAnsi="Calibri" w:cs="Calibri"/>
          <w:sz w:val="24"/>
          <w:szCs w:val="24"/>
        </w:rPr>
        <w:t xml:space="preserve"> (</w:t>
      </w:r>
      <w:r w:rsidRPr="00634970">
        <w:rPr>
          <w:rFonts w:ascii="Calibri" w:hAnsi="Calibri" w:cs="Calibri"/>
          <w:sz w:val="24"/>
          <w:szCs w:val="24"/>
        </w:rPr>
        <w:t>galveno uzsvaru liekot uz psiholoģisko atbalstu, nevis medicīnisk</w:t>
      </w:r>
      <w:r>
        <w:rPr>
          <w:rFonts w:ascii="Calibri" w:hAnsi="Calibri" w:cs="Calibri"/>
          <w:sz w:val="24"/>
          <w:szCs w:val="24"/>
        </w:rPr>
        <w:t>o</w:t>
      </w:r>
      <w:r w:rsidRPr="00634970">
        <w:rPr>
          <w:rFonts w:ascii="Calibri" w:hAnsi="Calibri" w:cs="Calibri"/>
          <w:sz w:val="24"/>
          <w:szCs w:val="24"/>
        </w:rPr>
        <w:t xml:space="preserve"> ārstēšanu</w:t>
      </w:r>
      <w:r>
        <w:rPr>
          <w:rFonts w:ascii="Calibri" w:hAnsi="Calibri" w:cs="Calibri"/>
          <w:sz w:val="24"/>
          <w:szCs w:val="24"/>
        </w:rPr>
        <w:t xml:space="preserve">). 1990. gadu </w:t>
      </w:r>
      <w:r w:rsidRPr="00634970">
        <w:rPr>
          <w:rFonts w:ascii="Calibri" w:hAnsi="Calibri" w:cs="Calibri"/>
          <w:sz w:val="24"/>
          <w:szCs w:val="24"/>
        </w:rPr>
        <w:t xml:space="preserve">beigās un 2000. gados </w:t>
      </w:r>
      <w:r w:rsidRPr="00634970">
        <w:rPr>
          <w:rFonts w:ascii="Calibri" w:hAnsi="Calibri" w:cs="Calibri"/>
          <w:sz w:val="24"/>
          <w:szCs w:val="24"/>
        </w:rPr>
        <w:t xml:space="preserve">klīniskā pieeja mainījās pēc tā </w:t>
      </w:r>
      <w:r>
        <w:rPr>
          <w:rFonts w:ascii="Calibri" w:hAnsi="Calibri" w:cs="Calibri"/>
          <w:sz w:val="24"/>
          <w:szCs w:val="24"/>
        </w:rPr>
        <w:t>dēvētā</w:t>
      </w:r>
      <w:r w:rsidRPr="00634970">
        <w:rPr>
          <w:rFonts w:ascii="Calibri" w:hAnsi="Calibri" w:cs="Calibri"/>
          <w:sz w:val="24"/>
          <w:szCs w:val="24"/>
        </w:rPr>
        <w:t xml:space="preserve"> Nīderlandes protokola</w:t>
      </w:r>
      <w:r w:rsidRPr="007A0AC4">
        <w:rPr>
          <w:rFonts w:ascii="Calibri" w:hAnsi="Calibri" w:cs="Calibri"/>
          <w:sz w:val="24"/>
          <w:szCs w:val="24"/>
        </w:rPr>
        <w:t xml:space="preserve"> (</w:t>
      </w:r>
      <w:r w:rsidRPr="009458FD">
        <w:rPr>
          <w:rFonts w:ascii="Calibri" w:hAnsi="Calibri" w:cs="Calibri"/>
          <w:i/>
          <w:iCs/>
          <w:sz w:val="24"/>
          <w:szCs w:val="24"/>
        </w:rPr>
        <w:t xml:space="preserve">Dutch </w:t>
      </w:r>
      <w:r w:rsidRPr="009458FD">
        <w:rPr>
          <w:rFonts w:ascii="Calibri" w:hAnsi="Calibri" w:cs="Calibri"/>
          <w:i/>
          <w:iCs/>
          <w:sz w:val="24"/>
          <w:szCs w:val="24"/>
        </w:rPr>
        <w:t>protocol</w:t>
      </w:r>
      <w:r w:rsidRPr="007A0AC4">
        <w:rPr>
          <w:rFonts w:ascii="Calibri" w:hAnsi="Calibri" w:cs="Calibri"/>
          <w:sz w:val="24"/>
          <w:szCs w:val="24"/>
        </w:rPr>
        <w:t>)</w:t>
      </w:r>
      <w:r w:rsidRPr="00634970">
        <w:rPr>
          <w:rFonts w:ascii="Calibri" w:hAnsi="Calibri" w:cs="Calibri"/>
          <w:sz w:val="24"/>
          <w:szCs w:val="24"/>
        </w:rPr>
        <w:t xml:space="preserve"> izstrādes, kas paredzēja pubertātes bloķētāju lietošanu šauri definētai pusaudžu grupai ar noturīg</w:t>
      </w:r>
      <w:r>
        <w:rPr>
          <w:rFonts w:ascii="Calibri" w:hAnsi="Calibri" w:cs="Calibri"/>
          <w:sz w:val="24"/>
          <w:szCs w:val="24"/>
        </w:rPr>
        <w:t>iem</w:t>
      </w:r>
      <w:r w:rsidRPr="00634970">
        <w:rPr>
          <w:rFonts w:ascii="Calibri" w:hAnsi="Calibri" w:cs="Calibri"/>
          <w:sz w:val="24"/>
          <w:szCs w:val="24"/>
        </w:rPr>
        <w:t xml:space="preserve"> dzimumidentitātes </w:t>
      </w:r>
      <w:r>
        <w:rPr>
          <w:rFonts w:ascii="Calibri" w:hAnsi="Calibri" w:cs="Calibri"/>
          <w:sz w:val="24"/>
          <w:szCs w:val="24"/>
        </w:rPr>
        <w:t>traucējumiem</w:t>
      </w:r>
      <w:r w:rsidRPr="00634970">
        <w:rPr>
          <w:rFonts w:ascii="Calibri" w:hAnsi="Calibri" w:cs="Calibri"/>
          <w:sz w:val="24"/>
          <w:szCs w:val="24"/>
        </w:rPr>
        <w:t>. Šī pieeja pakāpeniski tika pārņemta starptautiskā līmenī</w:t>
      </w:r>
      <w:r>
        <w:rPr>
          <w:rFonts w:ascii="Calibri" w:hAnsi="Calibri" w:cs="Calibri"/>
          <w:sz w:val="24"/>
          <w:szCs w:val="24"/>
        </w:rPr>
        <w:t xml:space="preserve"> – </w:t>
      </w:r>
      <w:r w:rsidRPr="00634970">
        <w:rPr>
          <w:rFonts w:ascii="Calibri" w:hAnsi="Calibri" w:cs="Calibri"/>
          <w:sz w:val="24"/>
          <w:szCs w:val="24"/>
        </w:rPr>
        <w:t xml:space="preserve">pubertātes bloķētāji sākotnēji tika izmantoti pētniecības ietvaros, bet vēlāk </w:t>
      </w:r>
      <w:r w:rsidRPr="000130DC">
        <w:rPr>
          <w:rFonts w:ascii="Calibri" w:hAnsi="Calibri" w:cs="Calibri"/>
          <w:sz w:val="24"/>
          <w:szCs w:val="24"/>
        </w:rPr>
        <w:t>ieviesti ikdienas klīniskajā praksē</w:t>
      </w:r>
      <w:r>
        <w:rPr>
          <w:rFonts w:ascii="Calibri" w:hAnsi="Calibri" w:cs="Calibri"/>
          <w:sz w:val="24"/>
          <w:szCs w:val="24"/>
        </w:rPr>
        <w:t xml:space="preserve">. </w:t>
      </w:r>
      <w:r w:rsidRPr="00634970">
        <w:rPr>
          <w:rFonts w:ascii="Calibri" w:hAnsi="Calibri" w:cs="Calibri"/>
          <w:sz w:val="24"/>
          <w:szCs w:val="24"/>
        </w:rPr>
        <w:t xml:space="preserve">Apmēram no 2010. gada tika novērots straujš un </w:t>
      </w:r>
      <w:r>
        <w:rPr>
          <w:rFonts w:ascii="Calibri" w:hAnsi="Calibri" w:cs="Calibri"/>
          <w:sz w:val="24"/>
          <w:szCs w:val="24"/>
        </w:rPr>
        <w:t>iepriekš nepieredzēts</w:t>
      </w:r>
      <w:r w:rsidRPr="00634970">
        <w:rPr>
          <w:rFonts w:ascii="Calibri" w:hAnsi="Calibri" w:cs="Calibri"/>
          <w:sz w:val="24"/>
          <w:szCs w:val="24"/>
        </w:rPr>
        <w:t xml:space="preserve"> </w:t>
      </w:r>
      <w:r w:rsidRPr="00CF7838">
        <w:rPr>
          <w:rFonts w:ascii="Calibri" w:hAnsi="Calibri" w:cs="Calibri"/>
          <w:sz w:val="24"/>
          <w:szCs w:val="24"/>
        </w:rPr>
        <w:t>gadījumu</w:t>
      </w:r>
      <w:r w:rsidRPr="00634970">
        <w:rPr>
          <w:rFonts w:ascii="Calibri" w:hAnsi="Calibri" w:cs="Calibri"/>
          <w:sz w:val="24"/>
          <w:szCs w:val="24"/>
        </w:rPr>
        <w:t xml:space="preserve"> skaita pieaugums, vienlaikus būtiski mainoties pacientu profilam</w:t>
      </w:r>
      <w:r>
        <w:rPr>
          <w:rFonts w:ascii="Calibri" w:hAnsi="Calibri" w:cs="Calibri"/>
          <w:sz w:val="24"/>
          <w:szCs w:val="24"/>
        </w:rPr>
        <w:t>,</w:t>
      </w:r>
      <w:r w:rsidRPr="00CF7838">
        <w:rPr>
          <w:rFonts w:ascii="Calibri" w:hAnsi="Calibri" w:cs="Calibri"/>
          <w:sz w:val="24"/>
          <w:szCs w:val="24"/>
        </w:rPr>
        <w:t xml:space="preserve"> </w:t>
      </w:r>
      <w:r w:rsidRPr="00634970">
        <w:rPr>
          <w:rFonts w:ascii="Calibri" w:hAnsi="Calibri" w:cs="Calibri"/>
          <w:sz w:val="24"/>
          <w:szCs w:val="24"/>
        </w:rPr>
        <w:t xml:space="preserve">īpaši pieaugot </w:t>
      </w:r>
      <w:r w:rsidRPr="00CF7838">
        <w:rPr>
          <w:rFonts w:ascii="Calibri" w:hAnsi="Calibri" w:cs="Calibri"/>
          <w:sz w:val="24"/>
          <w:szCs w:val="24"/>
        </w:rPr>
        <w:t>bērnu</w:t>
      </w:r>
      <w:r w:rsidRPr="00634970">
        <w:rPr>
          <w:rFonts w:ascii="Calibri" w:hAnsi="Calibri" w:cs="Calibri"/>
          <w:sz w:val="24"/>
          <w:szCs w:val="24"/>
        </w:rPr>
        <w:t xml:space="preserve"> un sieviešu dzimum</w:t>
      </w:r>
      <w:r w:rsidRPr="00CF7838">
        <w:rPr>
          <w:rFonts w:ascii="Calibri" w:hAnsi="Calibri" w:cs="Calibri"/>
          <w:sz w:val="24"/>
          <w:szCs w:val="24"/>
        </w:rPr>
        <w:t>a</w:t>
      </w:r>
      <w:r w:rsidRPr="00634970">
        <w:rPr>
          <w:rFonts w:ascii="Calibri" w:hAnsi="Calibri" w:cs="Calibri"/>
          <w:sz w:val="24"/>
          <w:szCs w:val="24"/>
        </w:rPr>
        <w:t xml:space="preserve"> pacientu īpatsvaram. Šajā periodā pakalpojumi arvien vairāk virzījās uz apstiprinoš</w:t>
      </w:r>
      <w:r>
        <w:rPr>
          <w:rFonts w:ascii="Calibri" w:hAnsi="Calibri" w:cs="Calibri"/>
          <w:sz w:val="24"/>
          <w:szCs w:val="24"/>
        </w:rPr>
        <w:t>o</w:t>
      </w:r>
      <w:r w:rsidRPr="00634970">
        <w:rPr>
          <w:rFonts w:ascii="Calibri" w:hAnsi="Calibri" w:cs="Calibri"/>
          <w:sz w:val="24"/>
          <w:szCs w:val="24"/>
        </w:rPr>
        <w:t xml:space="preserve"> klīnisko modeli</w:t>
      </w:r>
      <w:r>
        <w:rPr>
          <w:rStyle w:val="FootnoteReference"/>
          <w:rFonts w:ascii="Calibri" w:hAnsi="Calibri" w:cs="Calibri"/>
          <w:sz w:val="24"/>
          <w:szCs w:val="24"/>
        </w:rPr>
        <w:footnoteReference w:id="2"/>
      </w:r>
      <w:r w:rsidRPr="00634970">
        <w:rPr>
          <w:rFonts w:ascii="Calibri" w:hAnsi="Calibri" w:cs="Calibri"/>
          <w:sz w:val="24"/>
          <w:szCs w:val="24"/>
        </w:rPr>
        <w:t>, vienlaikus paplašinot medicīnisko iejaukšan</w:t>
      </w:r>
      <w:r>
        <w:rPr>
          <w:rFonts w:ascii="Calibri" w:hAnsi="Calibri" w:cs="Calibri"/>
          <w:sz w:val="24"/>
          <w:szCs w:val="24"/>
        </w:rPr>
        <w:t>ās</w:t>
      </w:r>
      <w:r w:rsidRPr="00634970">
        <w:rPr>
          <w:rFonts w:ascii="Calibri" w:hAnsi="Calibri" w:cs="Calibri"/>
          <w:sz w:val="24"/>
          <w:szCs w:val="24"/>
        </w:rPr>
        <w:t xml:space="preserve"> apjomu</w:t>
      </w:r>
      <w:r>
        <w:rPr>
          <w:rStyle w:val="FootnoteReference"/>
          <w:rFonts w:ascii="Calibri" w:hAnsi="Calibri" w:cs="Calibri"/>
          <w:sz w:val="24"/>
          <w:szCs w:val="24"/>
        </w:rPr>
        <w:footnoteReference w:id="3"/>
      </w:r>
      <w:r w:rsidRPr="00634970">
        <w:rPr>
          <w:rFonts w:ascii="Calibri" w:hAnsi="Calibri" w:cs="Calibri"/>
          <w:sz w:val="24"/>
          <w:szCs w:val="24"/>
        </w:rPr>
        <w:t xml:space="preserve">, neraugoties uz ierobežotu un </w:t>
      </w:r>
      <w:r>
        <w:rPr>
          <w:rFonts w:ascii="Calibri" w:hAnsi="Calibri" w:cs="Calibri"/>
          <w:sz w:val="24"/>
          <w:szCs w:val="24"/>
        </w:rPr>
        <w:t>joprojām</w:t>
      </w:r>
      <w:r w:rsidRPr="00634970">
        <w:rPr>
          <w:rFonts w:ascii="Calibri" w:hAnsi="Calibri" w:cs="Calibri"/>
          <w:sz w:val="24"/>
          <w:szCs w:val="24"/>
        </w:rPr>
        <w:t xml:space="preserve"> nepilnīgu pierādījumu bāzi.</w:t>
      </w:r>
      <w:r>
        <w:rPr>
          <w:rStyle w:val="FootnoteReference"/>
          <w:rFonts w:ascii="Calibri" w:hAnsi="Calibri" w:cs="Calibri"/>
          <w:sz w:val="24"/>
          <w:szCs w:val="24"/>
        </w:rPr>
        <w:footnoteReference w:id="4"/>
      </w:r>
    </w:p>
    <w:p w:rsidR="00C55393" w:rsidP="008E3445" w14:paraId="72A0E952" w14:textId="77777777">
      <w:pPr>
        <w:spacing w:before="240" w:line="360" w:lineRule="auto"/>
        <w:rPr>
          <w:rFonts w:ascii="Calibri" w:hAnsi="Calibri" w:cs="Calibri"/>
          <w:sz w:val="24"/>
          <w:szCs w:val="24"/>
        </w:rPr>
      </w:pPr>
      <w:r>
        <w:rPr>
          <w:rFonts w:ascii="Calibri" w:hAnsi="Calibri" w:cs="Calibri"/>
          <w:sz w:val="24"/>
          <w:szCs w:val="24"/>
        </w:rPr>
        <w:t xml:space="preserve">[2.1] Starptautiskajā vidē attīstījusies prakse bērniem ar dzimumidentitātes traucējumiem visos gadījumos īstenot </w:t>
      </w:r>
      <w:r w:rsidRPr="00173CB6">
        <w:rPr>
          <w:rFonts w:asciiTheme="minorHAnsi" w:hAnsiTheme="minorHAnsi" w:cstheme="minorHAnsi"/>
          <w:sz w:val="24"/>
          <w:szCs w:val="24"/>
        </w:rPr>
        <w:t>dzimuma apstiprinošu terapiju, tostarp medicīnisku iejaukšanos, nav prakse, kuru Latvijā ir īstenojusi Bērnu klīniskā universitātes slimnīca (turpmāk – BKUS).</w:t>
      </w:r>
      <w:r>
        <w:rPr>
          <w:rStyle w:val="FootnoteReference"/>
          <w:rFonts w:asciiTheme="minorHAnsi" w:hAnsiTheme="minorHAnsi" w:cstheme="minorHAnsi"/>
          <w:sz w:val="24"/>
          <w:szCs w:val="24"/>
        </w:rPr>
        <w:footnoteReference w:id="5"/>
      </w:r>
      <w:r>
        <w:rPr>
          <w:rFonts w:ascii="Calibri" w:hAnsi="Calibri" w:cs="Calibri"/>
          <w:sz w:val="24"/>
          <w:szCs w:val="24"/>
        </w:rPr>
        <w:t xml:space="preserve"> Vienlaikus BKUS rīcībā nav </w:t>
      </w:r>
      <w:r w:rsidRPr="00600D1A">
        <w:rPr>
          <w:rFonts w:ascii="Calibri" w:hAnsi="Calibri" w:cs="Calibri"/>
          <w:sz w:val="24"/>
          <w:szCs w:val="24"/>
        </w:rPr>
        <w:t>dat</w:t>
      </w:r>
      <w:r>
        <w:rPr>
          <w:rFonts w:ascii="Calibri" w:hAnsi="Calibri" w:cs="Calibri"/>
          <w:sz w:val="24"/>
          <w:szCs w:val="24"/>
        </w:rPr>
        <w:t>u</w:t>
      </w:r>
      <w:r w:rsidRPr="00600D1A">
        <w:rPr>
          <w:rFonts w:ascii="Calibri" w:hAnsi="Calibri" w:cs="Calibri"/>
          <w:sz w:val="24"/>
          <w:szCs w:val="24"/>
        </w:rPr>
        <w:t xml:space="preserve"> par </w:t>
      </w:r>
      <w:r>
        <w:rPr>
          <w:rFonts w:ascii="Calibri" w:hAnsi="Calibri" w:cs="Calibri"/>
          <w:sz w:val="24"/>
          <w:szCs w:val="24"/>
        </w:rPr>
        <w:t>bērnu</w:t>
      </w:r>
      <w:r w:rsidRPr="00600D1A">
        <w:rPr>
          <w:rFonts w:ascii="Calibri" w:hAnsi="Calibri" w:cs="Calibri"/>
          <w:sz w:val="24"/>
          <w:szCs w:val="24"/>
        </w:rPr>
        <w:t xml:space="preserve"> dzimumidentitātes traucējum</w:t>
      </w:r>
      <w:r>
        <w:rPr>
          <w:rFonts w:ascii="Calibri" w:hAnsi="Calibri" w:cs="Calibri"/>
          <w:sz w:val="24"/>
          <w:szCs w:val="24"/>
        </w:rPr>
        <w:t>u</w:t>
      </w:r>
      <w:r w:rsidRPr="00600D1A">
        <w:rPr>
          <w:rFonts w:ascii="Calibri" w:hAnsi="Calibri" w:cs="Calibri"/>
          <w:sz w:val="24"/>
          <w:szCs w:val="24"/>
        </w:rPr>
        <w:t xml:space="preserve"> izplatību Latvijā</w:t>
      </w:r>
      <w:r>
        <w:rPr>
          <w:rFonts w:ascii="Calibri" w:hAnsi="Calibri" w:cs="Calibri"/>
          <w:sz w:val="24"/>
          <w:szCs w:val="24"/>
        </w:rPr>
        <w:t xml:space="preserve"> un iestāde viedokli balsta savā klīniskajā praksē. </w:t>
      </w:r>
      <w:r w:rsidRPr="00600D1A">
        <w:rPr>
          <w:rFonts w:ascii="Calibri" w:hAnsi="Calibri" w:cs="Calibri"/>
          <w:sz w:val="24"/>
          <w:szCs w:val="24"/>
        </w:rPr>
        <w:t>Līdz šim Latvijā nav izveidots specifisks klīnisk</w:t>
      </w:r>
      <w:r>
        <w:rPr>
          <w:rFonts w:ascii="Calibri" w:hAnsi="Calibri" w:cs="Calibri"/>
          <w:sz w:val="24"/>
          <w:szCs w:val="24"/>
        </w:rPr>
        <w:t>ai</w:t>
      </w:r>
      <w:r w:rsidRPr="00600D1A">
        <w:rPr>
          <w:rFonts w:ascii="Calibri" w:hAnsi="Calibri" w:cs="Calibri"/>
          <w:sz w:val="24"/>
          <w:szCs w:val="24"/>
        </w:rPr>
        <w:t>s algoritms vai vadlīnijas pacientu ar dzimumidentitātes traucējumiem diagnostikai un ārstēšanai. Šādās situācijās</w:t>
      </w:r>
      <w:r>
        <w:rPr>
          <w:rFonts w:ascii="Calibri" w:hAnsi="Calibri" w:cs="Calibri"/>
          <w:sz w:val="24"/>
          <w:szCs w:val="24"/>
        </w:rPr>
        <w:t xml:space="preserve">, kā norāda BKUS, </w:t>
      </w:r>
      <w:r w:rsidRPr="00600D1A">
        <w:rPr>
          <w:rFonts w:ascii="Calibri" w:hAnsi="Calibri" w:cs="Calibri"/>
          <w:sz w:val="24"/>
          <w:szCs w:val="24"/>
        </w:rPr>
        <w:t>ārsta pienākums būtu sav</w:t>
      </w:r>
      <w:r>
        <w:rPr>
          <w:rFonts w:ascii="Calibri" w:hAnsi="Calibri" w:cs="Calibri"/>
          <w:sz w:val="24"/>
          <w:szCs w:val="24"/>
        </w:rPr>
        <w:t>os</w:t>
      </w:r>
      <w:r w:rsidRPr="00600D1A">
        <w:rPr>
          <w:rFonts w:ascii="Calibri" w:hAnsi="Calibri" w:cs="Calibri"/>
          <w:sz w:val="24"/>
          <w:szCs w:val="24"/>
        </w:rPr>
        <w:t xml:space="preserve"> klīnisk</w:t>
      </w:r>
      <w:r>
        <w:rPr>
          <w:rFonts w:ascii="Calibri" w:hAnsi="Calibri" w:cs="Calibri"/>
          <w:sz w:val="24"/>
          <w:szCs w:val="24"/>
        </w:rPr>
        <w:t>o</w:t>
      </w:r>
      <w:r w:rsidRPr="00600D1A">
        <w:rPr>
          <w:rFonts w:ascii="Calibri" w:hAnsi="Calibri" w:cs="Calibri"/>
          <w:sz w:val="24"/>
          <w:szCs w:val="24"/>
        </w:rPr>
        <w:t>s lēmum</w:t>
      </w:r>
      <w:r>
        <w:rPr>
          <w:rFonts w:ascii="Calibri" w:hAnsi="Calibri" w:cs="Calibri"/>
          <w:sz w:val="24"/>
          <w:szCs w:val="24"/>
        </w:rPr>
        <w:t>os b</w:t>
      </w:r>
      <w:r w:rsidRPr="00625224">
        <w:rPr>
          <w:rFonts w:ascii="Calibri" w:hAnsi="Calibri" w:cs="Calibri"/>
          <w:sz w:val="24"/>
          <w:szCs w:val="24"/>
        </w:rPr>
        <w:t>alstīties uz aktuālo zinātnisko pierādījumu bāz</w:t>
      </w:r>
      <w:r>
        <w:rPr>
          <w:rFonts w:ascii="Calibri" w:hAnsi="Calibri" w:cs="Calibri"/>
          <w:sz w:val="24"/>
          <w:szCs w:val="24"/>
        </w:rPr>
        <w:t>i</w:t>
      </w:r>
      <w:r w:rsidRPr="00600D1A">
        <w:rPr>
          <w:rFonts w:ascii="Calibri" w:hAnsi="Calibri" w:cs="Calibri"/>
          <w:sz w:val="24"/>
          <w:szCs w:val="24"/>
        </w:rPr>
        <w:t>.</w:t>
      </w:r>
      <w:r>
        <w:rPr>
          <w:rStyle w:val="FootnoteReference"/>
          <w:rFonts w:ascii="Calibri" w:hAnsi="Calibri" w:cs="Calibri"/>
          <w:sz w:val="24"/>
          <w:szCs w:val="24"/>
        </w:rPr>
        <w:footnoteReference w:id="6"/>
      </w:r>
    </w:p>
    <w:p w:rsidR="00C55393" w:rsidP="008E3445" w14:paraId="2223EDB8" w14:textId="77777777">
      <w:pPr>
        <w:pStyle w:val="Heading1"/>
      </w:pPr>
      <w:r w:rsidRPr="00C82859">
        <w:t xml:space="preserve">Viedoklis par deputātu iesniegto likumprojektu </w:t>
      </w:r>
    </w:p>
    <w:p w:rsidR="00C55393" w:rsidP="008E3445" w14:paraId="57637A4B" w14:textId="77777777">
      <w:pPr>
        <w:spacing w:before="240" w:line="360" w:lineRule="auto"/>
        <w:rPr>
          <w:rFonts w:ascii="Calibri" w:hAnsi="Calibri" w:cs="Calibri"/>
          <w:sz w:val="24"/>
          <w:szCs w:val="24"/>
        </w:rPr>
      </w:pPr>
      <w:r>
        <w:rPr>
          <w:rFonts w:ascii="Calibri" w:hAnsi="Calibri" w:cs="Calibri"/>
          <w:sz w:val="24"/>
          <w:szCs w:val="24"/>
        </w:rPr>
        <w:t>[3] Jautājumā par bērnu dzimumidentitātes traucējumu ārstēšanu nav vienota zinātniska redzējuma. Citu valstu klīniskā pieredze liecina, ka dzimumu apstiprinošas medikamentozas terapijas īstenošana bērnam ar dzimumidentitātes traucējumiem var radīt neatgriezenisku veselības kaitējumu</w:t>
      </w:r>
      <w:r>
        <w:rPr>
          <w:rStyle w:val="FootnoteReference"/>
          <w:rFonts w:ascii="Calibri" w:hAnsi="Calibri" w:cs="Calibri"/>
          <w:sz w:val="24"/>
          <w:szCs w:val="24"/>
        </w:rPr>
        <w:footnoteReference w:id="7"/>
      </w:r>
      <w:r>
        <w:rPr>
          <w:rFonts w:ascii="Calibri" w:hAnsi="Calibri" w:cs="Calibri"/>
          <w:sz w:val="24"/>
          <w:szCs w:val="24"/>
        </w:rPr>
        <w:t xml:space="preserve">, neatrisinot dzimumidentitātes izraisīto traucējumu sekas (depresija, sociāla trauksme, domas par </w:t>
      </w:r>
      <w:r>
        <w:rPr>
          <w:rFonts w:ascii="Calibri" w:hAnsi="Calibri" w:cs="Calibri"/>
          <w:sz w:val="24"/>
          <w:szCs w:val="24"/>
        </w:rPr>
        <w:t>paškaitējumu</w:t>
      </w:r>
      <w:r>
        <w:rPr>
          <w:rFonts w:ascii="Calibri" w:hAnsi="Calibri" w:cs="Calibri"/>
          <w:sz w:val="24"/>
          <w:szCs w:val="24"/>
        </w:rPr>
        <w:t xml:space="preserve">), tādēļ </w:t>
      </w:r>
      <w:r w:rsidRPr="006A504E">
        <w:rPr>
          <w:rFonts w:ascii="Calibri" w:hAnsi="Calibri" w:cs="Calibri"/>
          <w:sz w:val="24"/>
          <w:szCs w:val="24"/>
        </w:rPr>
        <w:t>šāda ārstēšana būtu uzskatāma par eksperimentālu</w:t>
      </w:r>
      <w:r>
        <w:rPr>
          <w:rFonts w:ascii="Calibri" w:hAnsi="Calibri" w:cs="Calibri"/>
          <w:sz w:val="24"/>
          <w:szCs w:val="24"/>
        </w:rPr>
        <w:t>.</w:t>
      </w:r>
      <w:r>
        <w:rPr>
          <w:rStyle w:val="FootnoteReference"/>
          <w:rFonts w:ascii="Calibri" w:hAnsi="Calibri" w:cs="Calibri"/>
          <w:sz w:val="24"/>
          <w:szCs w:val="24"/>
        </w:rPr>
        <w:footnoteReference w:id="8"/>
      </w:r>
      <w:r>
        <w:rPr>
          <w:rFonts w:ascii="Calibri" w:hAnsi="Calibri" w:cs="Calibri"/>
          <w:sz w:val="24"/>
          <w:szCs w:val="24"/>
        </w:rPr>
        <w:t xml:space="preserve">  Tomēr </w:t>
      </w:r>
      <w:r w:rsidRPr="006A504E">
        <w:rPr>
          <w:rFonts w:ascii="Calibri" w:hAnsi="Calibri" w:cs="Calibri"/>
          <w:sz w:val="24"/>
          <w:szCs w:val="24"/>
        </w:rPr>
        <w:t>starptautiskā līmenī joprojām pastāv vadlīnijas, kas paredz apstiprinošas terapijas izmantošanu bērniem, tostarp dzimuma maiņai paredzētu ķirurģisku iejaukšanos</w:t>
      </w:r>
      <w:r>
        <w:rPr>
          <w:rFonts w:ascii="Calibri" w:hAnsi="Calibri" w:cs="Calibri"/>
          <w:sz w:val="24"/>
          <w:szCs w:val="24"/>
        </w:rPr>
        <w:t>.</w:t>
      </w:r>
      <w:r>
        <w:rPr>
          <w:rStyle w:val="FootnoteReference"/>
          <w:rFonts w:ascii="Calibri" w:hAnsi="Calibri" w:cs="Calibri"/>
          <w:sz w:val="24"/>
          <w:szCs w:val="24"/>
        </w:rPr>
        <w:footnoteReference w:id="9"/>
      </w:r>
      <w:r>
        <w:rPr>
          <w:rFonts w:ascii="Calibri" w:hAnsi="Calibri" w:cs="Calibri"/>
          <w:sz w:val="24"/>
          <w:szCs w:val="24"/>
        </w:rPr>
        <w:t xml:space="preserve"> Tādēļ vairākas valstis ir sākušas šo jautājumu regulēt nacionālā līmenī – ieviešot vadlīnijas vai tiesisko regulējumu. </w:t>
      </w:r>
    </w:p>
    <w:p w:rsidR="00F54B51" w:rsidP="008E3445" w14:paraId="2F6A5396" w14:textId="77777777">
      <w:pPr>
        <w:spacing w:before="240" w:line="360" w:lineRule="auto"/>
        <w:rPr>
          <w:rFonts w:ascii="Calibri" w:hAnsi="Calibri" w:cs="Calibri"/>
          <w:sz w:val="24"/>
          <w:szCs w:val="24"/>
        </w:rPr>
      </w:pPr>
      <w:r>
        <w:rPr>
          <w:rFonts w:ascii="Calibri" w:hAnsi="Calibri" w:cs="Calibri"/>
          <w:sz w:val="24"/>
          <w:szCs w:val="24"/>
        </w:rPr>
        <w:t xml:space="preserve">[4] </w:t>
      </w:r>
      <w:r w:rsidRPr="006A504E">
        <w:rPr>
          <w:rFonts w:ascii="Calibri" w:hAnsi="Calibri" w:cs="Calibri"/>
          <w:sz w:val="24"/>
          <w:szCs w:val="24"/>
        </w:rPr>
        <w:t>Ņemot vērā iespējamos neatgriezeniskos veselības un auglības riskus, ko bērniem var radīt medicīniskas manipulācijas dzimuma maiņas nolūkā, bērna piekrišanai šādai ārstēšanai jābūt obligātai.</w:t>
      </w:r>
      <w:r>
        <w:rPr>
          <w:rFonts w:ascii="Calibri" w:hAnsi="Calibri" w:cs="Calibri"/>
          <w:sz w:val="24"/>
          <w:szCs w:val="24"/>
        </w:rPr>
        <w:t xml:space="preserve"> Saskaņā ar Latvijas tiesību sistēmu bērns informētu piekrišanu ārstniecībai var sniegt no 14 gadu vecuma</w:t>
      </w:r>
      <w:r>
        <w:rPr>
          <w:rStyle w:val="FootnoteReference"/>
          <w:rFonts w:ascii="Calibri" w:hAnsi="Calibri" w:cs="Calibri"/>
          <w:sz w:val="24"/>
          <w:szCs w:val="24"/>
        </w:rPr>
        <w:footnoteReference w:id="10"/>
      </w:r>
      <w:r>
        <w:rPr>
          <w:rFonts w:ascii="Calibri" w:hAnsi="Calibri" w:cs="Calibri"/>
          <w:sz w:val="24"/>
          <w:szCs w:val="24"/>
        </w:rPr>
        <w:t xml:space="preserve">. </w:t>
      </w:r>
      <w:r w:rsidRPr="006A504E">
        <w:rPr>
          <w:rFonts w:ascii="Calibri" w:hAnsi="Calibri" w:cs="Calibri"/>
          <w:sz w:val="24"/>
          <w:szCs w:val="24"/>
        </w:rPr>
        <w:t xml:space="preserve">Tomēr informēta piekrišana saistībā ar dzimuma maiņu prasa spēju pieņemt lēmumus par ar dzimumbriedumu saistītiem jautājumiem (auglību, seksuālo funkciju) vecumā, kad bērnam vēl nav pilnībā iestājusies </w:t>
      </w:r>
      <w:r w:rsidRPr="006A504E">
        <w:rPr>
          <w:rFonts w:ascii="Calibri" w:hAnsi="Calibri" w:cs="Calibri"/>
          <w:sz w:val="24"/>
          <w:szCs w:val="24"/>
        </w:rPr>
        <w:t>dzimumnobriešana</w:t>
      </w:r>
      <w:r w:rsidRPr="006A504E">
        <w:rPr>
          <w:rFonts w:ascii="Calibri" w:hAnsi="Calibri" w:cs="Calibri"/>
          <w:sz w:val="24"/>
          <w:szCs w:val="24"/>
        </w:rPr>
        <w:t>.</w:t>
      </w:r>
    </w:p>
    <w:p w:rsidR="00C55393" w:rsidP="008E3445" w14:paraId="1E576FE8" w14:textId="71DC670D">
      <w:pPr>
        <w:spacing w:before="240" w:line="360" w:lineRule="auto"/>
        <w:rPr>
          <w:rFonts w:ascii="Calibri" w:hAnsi="Calibri" w:cs="Calibri"/>
          <w:sz w:val="24"/>
          <w:szCs w:val="24"/>
        </w:rPr>
      </w:pPr>
      <w:r>
        <w:rPr>
          <w:rFonts w:ascii="Calibri" w:hAnsi="Calibri" w:cs="Calibri"/>
          <w:sz w:val="24"/>
          <w:szCs w:val="24"/>
        </w:rPr>
        <w:t>I</w:t>
      </w:r>
      <w:r w:rsidRPr="00116701">
        <w:rPr>
          <w:rFonts w:ascii="Calibri" w:hAnsi="Calibri" w:cs="Calibri"/>
          <w:sz w:val="24"/>
          <w:szCs w:val="24"/>
        </w:rPr>
        <w:t>nformētas piekrišanas nodrošināšanu būtiski apgrūtina</w:t>
      </w:r>
      <w:r>
        <w:rPr>
          <w:rFonts w:ascii="Calibri" w:hAnsi="Calibri" w:cs="Calibri"/>
          <w:sz w:val="24"/>
          <w:szCs w:val="24"/>
        </w:rPr>
        <w:t xml:space="preserve"> arī </w:t>
      </w:r>
      <w:r w:rsidRPr="0022777D">
        <w:rPr>
          <w:rFonts w:ascii="Calibri" w:hAnsi="Calibri" w:cs="Calibri"/>
          <w:sz w:val="24"/>
          <w:szCs w:val="24"/>
        </w:rPr>
        <w:t>neskaidrība par iespējamo ieguvumu un risku attiecību katrā konkrētajā gadījumā</w:t>
      </w:r>
      <w:r>
        <w:rPr>
          <w:rFonts w:ascii="Calibri" w:hAnsi="Calibri" w:cs="Calibri"/>
          <w:sz w:val="24"/>
          <w:szCs w:val="24"/>
        </w:rPr>
        <w:t xml:space="preserve">, gan arī </w:t>
      </w:r>
      <w:r w:rsidRPr="0022777D">
        <w:rPr>
          <w:rFonts w:ascii="Calibri" w:hAnsi="Calibri" w:cs="Calibri"/>
          <w:sz w:val="24"/>
          <w:szCs w:val="24"/>
        </w:rPr>
        <w:t>uzticamas</w:t>
      </w:r>
      <w:r>
        <w:rPr>
          <w:rFonts w:ascii="Calibri" w:hAnsi="Calibri" w:cs="Calibri"/>
          <w:sz w:val="24"/>
          <w:szCs w:val="24"/>
        </w:rPr>
        <w:t xml:space="preserve"> un pietiekamas </w:t>
      </w:r>
      <w:r w:rsidRPr="0022777D">
        <w:rPr>
          <w:rFonts w:ascii="Calibri" w:hAnsi="Calibri" w:cs="Calibri"/>
          <w:sz w:val="24"/>
          <w:szCs w:val="24"/>
        </w:rPr>
        <w:t>informācijas trūkums, kas ļautu bērnam pieņemt patiesi informētu lēmumu.</w:t>
      </w:r>
      <w:r>
        <w:rPr>
          <w:rStyle w:val="FootnoteReference"/>
          <w:rFonts w:ascii="Calibri" w:hAnsi="Calibri" w:cs="Calibri"/>
          <w:sz w:val="24"/>
          <w:szCs w:val="24"/>
        </w:rPr>
        <w:footnoteReference w:id="11"/>
      </w:r>
      <w:r>
        <w:rPr>
          <w:rFonts w:ascii="Calibri" w:hAnsi="Calibri" w:cs="Calibri"/>
          <w:sz w:val="24"/>
          <w:szCs w:val="24"/>
        </w:rPr>
        <w:t xml:space="preserve">  </w:t>
      </w:r>
    </w:p>
    <w:p w:rsidR="00C55393" w:rsidP="008E3445" w14:paraId="1B6CD6E6" w14:textId="0A1C6724">
      <w:pPr>
        <w:pStyle w:val="FootnoteText"/>
        <w:spacing w:before="240"/>
        <w:rPr>
          <w:rFonts w:ascii="Calibri" w:hAnsi="Calibri" w:cs="Calibri"/>
          <w:sz w:val="24"/>
          <w:szCs w:val="24"/>
        </w:rPr>
      </w:pPr>
      <w:r w:rsidRPr="00B45A89">
        <w:rPr>
          <w:rFonts w:ascii="Calibri" w:hAnsi="Calibri" w:cs="Calibri"/>
          <w:sz w:val="24"/>
          <w:szCs w:val="24"/>
        </w:rPr>
        <w:t>[</w:t>
      </w:r>
      <w:r>
        <w:rPr>
          <w:rFonts w:ascii="Calibri" w:hAnsi="Calibri" w:cs="Calibri"/>
          <w:sz w:val="24"/>
          <w:szCs w:val="24"/>
        </w:rPr>
        <w:t>5</w:t>
      </w:r>
      <w:r w:rsidRPr="00B45A89">
        <w:rPr>
          <w:rFonts w:ascii="Calibri" w:hAnsi="Calibri" w:cs="Calibri"/>
          <w:sz w:val="24"/>
          <w:szCs w:val="24"/>
        </w:rPr>
        <w:t xml:space="preserve">] </w:t>
      </w:r>
      <w:r>
        <w:rPr>
          <w:rFonts w:ascii="Calibri" w:hAnsi="Calibri" w:cs="Calibri"/>
          <w:sz w:val="24"/>
          <w:szCs w:val="24"/>
        </w:rPr>
        <w:t xml:space="preserve">Saskaņā ar </w:t>
      </w:r>
      <w:r>
        <w:rPr>
          <w:rFonts w:cstheme="minorHAnsi"/>
          <w:sz w:val="24"/>
          <w:szCs w:val="24"/>
        </w:rPr>
        <w:t xml:space="preserve">ANO Bērnu tiesību konvencijas 24. pantu katram bērnam ir tiesības uz </w:t>
      </w:r>
      <w:r w:rsidRPr="009570B6">
        <w:rPr>
          <w:rFonts w:cstheme="minorHAnsi"/>
          <w:sz w:val="24"/>
          <w:szCs w:val="24"/>
        </w:rPr>
        <w:t>visaugstvērtīgāko pieejamo veselības standartu</w:t>
      </w:r>
      <w:r>
        <w:rPr>
          <w:rFonts w:cstheme="minorHAnsi"/>
          <w:sz w:val="24"/>
          <w:szCs w:val="24"/>
        </w:rPr>
        <w:t>. Tas paredz bērnu tiesības uz tādiem ar</w:t>
      </w:r>
      <w:r w:rsidRPr="009570B6">
        <w:rPr>
          <w:rFonts w:cstheme="minorHAnsi"/>
          <w:sz w:val="24"/>
          <w:szCs w:val="24"/>
        </w:rPr>
        <w:t xml:space="preserve"> veselības aprūpi saistīt</w:t>
      </w:r>
      <w:r>
        <w:rPr>
          <w:rFonts w:cstheme="minorHAnsi"/>
          <w:sz w:val="24"/>
          <w:szCs w:val="24"/>
        </w:rPr>
        <w:t xml:space="preserve">iem </w:t>
      </w:r>
      <w:r w:rsidRPr="009570B6">
        <w:rPr>
          <w:rFonts w:cstheme="minorHAnsi"/>
          <w:sz w:val="24"/>
          <w:szCs w:val="24"/>
        </w:rPr>
        <w:t>pakalpojumiem</w:t>
      </w:r>
      <w:r>
        <w:rPr>
          <w:rFonts w:cstheme="minorHAnsi"/>
          <w:sz w:val="24"/>
          <w:szCs w:val="24"/>
        </w:rPr>
        <w:t xml:space="preserve">, kuri ir </w:t>
      </w:r>
      <w:r w:rsidRPr="009570B6">
        <w:rPr>
          <w:rFonts w:cstheme="minorHAnsi"/>
          <w:sz w:val="24"/>
          <w:szCs w:val="24"/>
        </w:rPr>
        <w:t>zinātniski un medicīniski atbilstoš</w:t>
      </w:r>
      <w:r>
        <w:rPr>
          <w:rFonts w:cstheme="minorHAnsi"/>
          <w:sz w:val="24"/>
          <w:szCs w:val="24"/>
        </w:rPr>
        <w:t>i</w:t>
      </w:r>
      <w:r w:rsidRPr="009570B6">
        <w:rPr>
          <w:rFonts w:cstheme="minorHAnsi"/>
          <w:sz w:val="24"/>
          <w:szCs w:val="24"/>
        </w:rPr>
        <w:t xml:space="preserve"> un kvalitatīv</w:t>
      </w:r>
      <w:r>
        <w:rPr>
          <w:rFonts w:cstheme="minorHAnsi"/>
          <w:sz w:val="24"/>
          <w:szCs w:val="24"/>
        </w:rPr>
        <w:t>i</w:t>
      </w:r>
      <w:r w:rsidRPr="009570B6">
        <w:rPr>
          <w:rFonts w:cstheme="minorHAnsi"/>
          <w:sz w:val="24"/>
          <w:szCs w:val="24"/>
        </w:rPr>
        <w:t xml:space="preserve">. Lai nodrošinātu kvalitāti, ir nepieciešams, lai </w:t>
      </w:r>
      <w:r>
        <w:rPr>
          <w:rFonts w:cstheme="minorHAnsi"/>
          <w:sz w:val="24"/>
          <w:szCs w:val="24"/>
        </w:rPr>
        <w:t>bērn</w:t>
      </w:r>
      <w:r w:rsidR="00F54B51">
        <w:rPr>
          <w:rFonts w:cstheme="minorHAnsi"/>
          <w:sz w:val="24"/>
          <w:szCs w:val="24"/>
        </w:rPr>
        <w:t>a</w:t>
      </w:r>
      <w:r>
        <w:rPr>
          <w:rFonts w:cstheme="minorHAnsi"/>
          <w:sz w:val="24"/>
          <w:szCs w:val="24"/>
        </w:rPr>
        <w:t xml:space="preserve">m nozīmētā </w:t>
      </w:r>
      <w:r w:rsidRPr="009570B6">
        <w:rPr>
          <w:rFonts w:cstheme="minorHAnsi"/>
          <w:sz w:val="24"/>
          <w:szCs w:val="24"/>
        </w:rPr>
        <w:t>ārstēšana, intervence un zāles tiktu noteiktas, pamatojoties uz pierādījumiem</w:t>
      </w:r>
      <w:r>
        <w:rPr>
          <w:rFonts w:cstheme="minorHAnsi"/>
          <w:sz w:val="24"/>
          <w:szCs w:val="24"/>
        </w:rPr>
        <w:t xml:space="preserve"> par šādas ārstniecības efektivitāti, kas atsver potenciālos riskus, ko šāda ārstniecība var radīt.</w:t>
      </w:r>
      <w:r>
        <w:rPr>
          <w:rStyle w:val="FootnoteReference"/>
          <w:rFonts w:cstheme="minorHAnsi"/>
          <w:sz w:val="24"/>
          <w:szCs w:val="24"/>
        </w:rPr>
        <w:footnoteReference w:id="12"/>
      </w:r>
      <w:r>
        <w:rPr>
          <w:rFonts w:cstheme="minorHAnsi"/>
          <w:sz w:val="24"/>
          <w:szCs w:val="24"/>
        </w:rPr>
        <w:t xml:space="preserve"> </w:t>
      </w:r>
      <w:r w:rsidRPr="00B45A89">
        <w:rPr>
          <w:rFonts w:ascii="Calibri" w:hAnsi="Calibri" w:cs="Calibri"/>
          <w:sz w:val="24"/>
          <w:szCs w:val="24"/>
        </w:rPr>
        <w:t>Tādējādi</w:t>
      </w:r>
      <w:r>
        <w:rPr>
          <w:rFonts w:cstheme="minorHAnsi"/>
          <w:sz w:val="24"/>
          <w:szCs w:val="24"/>
        </w:rPr>
        <w:t xml:space="preserve"> bērna labākajām interesēm atbilstoši būtu ieviest tādu regulējumu, kas ierobežotu eksperimentālu ārstniecības metožu izmantošanu bērniem ar dzimumidentitātes traucējumiem. </w:t>
      </w:r>
    </w:p>
    <w:p w:rsidR="00C55393" w:rsidP="008E3445" w14:paraId="397CF133" w14:textId="77777777">
      <w:pPr>
        <w:spacing w:before="240" w:line="360" w:lineRule="auto"/>
        <w:rPr>
          <w:rFonts w:ascii="Calibri" w:hAnsi="Calibri" w:cs="Calibri"/>
          <w:sz w:val="24"/>
          <w:szCs w:val="24"/>
        </w:rPr>
      </w:pPr>
      <w:r>
        <w:rPr>
          <w:rFonts w:ascii="Calibri" w:hAnsi="Calibri" w:cs="Calibri"/>
          <w:sz w:val="24"/>
          <w:szCs w:val="24"/>
        </w:rPr>
        <w:t>[6] Prakse nacionālajos tiesību aktos ierobežot dažādas ar bērna dzimuma maiņu saistītas medicīniskas manipulācijas ir sastopama arī citviet.</w:t>
      </w:r>
      <w:r>
        <w:rPr>
          <w:rStyle w:val="FootnoteReference"/>
          <w:rFonts w:ascii="Calibri" w:hAnsi="Calibri" w:cs="Calibri"/>
          <w:sz w:val="24"/>
          <w:szCs w:val="24"/>
        </w:rPr>
        <w:footnoteReference w:id="13"/>
      </w:r>
      <w:r>
        <w:rPr>
          <w:rFonts w:ascii="Calibri" w:hAnsi="Calibri" w:cs="Calibri"/>
          <w:sz w:val="24"/>
          <w:szCs w:val="24"/>
        </w:rPr>
        <w:t xml:space="preserve"> Taču apšaubāms, vai šāda regulējuma ieviešana Krimināllikumā ir juridiski atbilstoša rīcība. </w:t>
      </w:r>
    </w:p>
    <w:p w:rsidR="009D22D4" w:rsidP="008E3445" w14:paraId="48A0C76C" w14:textId="71976B14">
      <w:pPr>
        <w:spacing w:before="240" w:line="360" w:lineRule="auto"/>
        <w:rPr>
          <w:rFonts w:ascii="Calibri" w:hAnsi="Calibri" w:cs="Calibri"/>
          <w:sz w:val="24"/>
          <w:szCs w:val="24"/>
        </w:rPr>
      </w:pPr>
      <w:r>
        <w:rPr>
          <w:rFonts w:ascii="Calibri" w:hAnsi="Calibri" w:cs="Calibri"/>
          <w:sz w:val="24"/>
          <w:szCs w:val="24"/>
        </w:rPr>
        <w:t xml:space="preserve">[6.1] Krimināllikumā šobrīd </w:t>
      </w:r>
      <w:r w:rsidRPr="002B225E">
        <w:rPr>
          <w:rFonts w:ascii="Calibri" w:hAnsi="Calibri" w:cs="Calibri"/>
          <w:sz w:val="24"/>
          <w:szCs w:val="24"/>
        </w:rPr>
        <w:t>nav tiesību normas</w:t>
      </w:r>
      <w:r>
        <w:rPr>
          <w:rFonts w:ascii="Calibri" w:hAnsi="Calibri" w:cs="Calibri"/>
          <w:sz w:val="24"/>
          <w:szCs w:val="24"/>
        </w:rPr>
        <w:t xml:space="preserve">, kas kriminalizētu kādu konkrētu ārstniecības praksi. </w:t>
      </w:r>
      <w:r>
        <w:rPr>
          <w:rFonts w:ascii="Calibri" w:hAnsi="Calibri" w:cs="Calibri"/>
          <w:sz w:val="24"/>
          <w:szCs w:val="24"/>
        </w:rPr>
        <w:t>Krimināllikumā ietvert tiesību normas, kas regulētu kādu ārstniecības metodi vai medikamentu lietošanu, var negatīvi ietekmēt individuālu klīnisku gadījumu ārstēšanu. Piemēram, k</w:t>
      </w:r>
      <w:r w:rsidRPr="00282E30">
        <w:rPr>
          <w:rFonts w:ascii="Calibri" w:hAnsi="Calibri" w:cs="Calibri"/>
          <w:sz w:val="24"/>
          <w:szCs w:val="24"/>
        </w:rPr>
        <w:t>riminālatbildības noteikšana par bērna ārstēšanu</w:t>
      </w:r>
      <w:r>
        <w:rPr>
          <w:rFonts w:ascii="Calibri" w:hAnsi="Calibri" w:cs="Calibri"/>
          <w:sz w:val="24"/>
          <w:szCs w:val="24"/>
        </w:rPr>
        <w:t xml:space="preserve"> ar </w:t>
      </w:r>
      <w:r w:rsidRPr="00282E30">
        <w:rPr>
          <w:rFonts w:ascii="Calibri" w:hAnsi="Calibri" w:cs="Calibri"/>
          <w:sz w:val="24"/>
          <w:szCs w:val="24"/>
        </w:rPr>
        <w:t>pubertātes blokator</w:t>
      </w:r>
      <w:r>
        <w:rPr>
          <w:rFonts w:ascii="Calibri" w:hAnsi="Calibri" w:cs="Calibri"/>
          <w:sz w:val="24"/>
          <w:szCs w:val="24"/>
        </w:rPr>
        <w:t>iem</w:t>
      </w:r>
      <w:r w:rsidRPr="00282E30">
        <w:rPr>
          <w:rFonts w:ascii="Calibri" w:hAnsi="Calibri" w:cs="Calibri"/>
          <w:sz w:val="24"/>
          <w:szCs w:val="24"/>
        </w:rPr>
        <w:t xml:space="preserve"> vai kross</w:t>
      </w:r>
      <w:r>
        <w:rPr>
          <w:rFonts w:ascii="Calibri" w:hAnsi="Calibri" w:cs="Calibri"/>
          <w:sz w:val="24"/>
          <w:szCs w:val="24"/>
        </w:rPr>
        <w:t xml:space="preserve"> - </w:t>
      </w:r>
      <w:r w:rsidRPr="00282E30">
        <w:rPr>
          <w:rFonts w:ascii="Calibri" w:hAnsi="Calibri" w:cs="Calibri"/>
          <w:sz w:val="24"/>
          <w:szCs w:val="24"/>
        </w:rPr>
        <w:t>hormonālo terapiju, var nepamatoti ierobežot ārstu iespējas veikt ārstniecību gadījumos, kad tā ir objektīvi nepieciešama bērniem, kuri piedzimuši ar dzimumam netipiski attīstītiem vai neizteiktiem dzimumorgāniem (</w:t>
      </w:r>
      <w:r w:rsidRPr="00282E30">
        <w:rPr>
          <w:rFonts w:ascii="Calibri" w:hAnsi="Calibri" w:cs="Calibri"/>
          <w:sz w:val="24"/>
          <w:szCs w:val="24"/>
        </w:rPr>
        <w:t>interseksuāliem</w:t>
      </w:r>
      <w:r w:rsidRPr="00282E30">
        <w:rPr>
          <w:rFonts w:ascii="Calibri" w:hAnsi="Calibri" w:cs="Calibri"/>
          <w:sz w:val="24"/>
          <w:szCs w:val="24"/>
        </w:rPr>
        <w:t xml:space="preserve"> bērniem).</w:t>
      </w:r>
    </w:p>
    <w:p w:rsidR="009D22D4" w:rsidP="008E3445" w14:paraId="49E9B8BA" w14:textId="125FCD04">
      <w:pPr>
        <w:spacing w:before="240" w:line="360" w:lineRule="auto"/>
        <w:rPr>
          <w:rFonts w:ascii="Calibri" w:hAnsi="Calibri" w:cs="Calibri"/>
          <w:sz w:val="24"/>
          <w:szCs w:val="24"/>
        </w:rPr>
      </w:pPr>
      <w:r>
        <w:rPr>
          <w:rFonts w:ascii="Calibri" w:hAnsi="Calibri" w:cs="Calibri"/>
          <w:sz w:val="24"/>
          <w:szCs w:val="24"/>
        </w:rPr>
        <w:t xml:space="preserve">[6.2] Par neatbilstošu vai neatļautu ārstniecību jau ir paredzēta kriminālatbildība vispārējos Krimināllikuma pantos, kurus varētu piemērot arī gadījumā, ja ārstniecības persona pretēji vadošām klīniskām vadlīnijām vai neatbilstoši savai specialitātei īstenotu bērna dzimuma maiņu, tai skaitā nozīmētu pubertātes bloķētājus vai kross-hormonālo terapiju.  </w:t>
      </w:r>
    </w:p>
    <w:p w:rsidR="00C55393" w:rsidP="008E3445" w14:paraId="29E5823D" w14:textId="03C6E2A9">
      <w:pPr>
        <w:spacing w:before="240" w:line="360" w:lineRule="auto"/>
        <w:rPr>
          <w:rFonts w:ascii="Calibri" w:hAnsi="Calibri" w:cs="Calibri"/>
          <w:sz w:val="24"/>
          <w:szCs w:val="24"/>
        </w:rPr>
      </w:pPr>
      <w:r>
        <w:rPr>
          <w:rFonts w:ascii="Calibri" w:hAnsi="Calibri" w:cs="Calibri"/>
          <w:sz w:val="24"/>
          <w:szCs w:val="24"/>
        </w:rPr>
        <w:t>[6.</w:t>
      </w:r>
      <w:r w:rsidR="009D22D4">
        <w:rPr>
          <w:rFonts w:ascii="Calibri" w:hAnsi="Calibri" w:cs="Calibri"/>
          <w:sz w:val="24"/>
          <w:szCs w:val="24"/>
        </w:rPr>
        <w:t>3</w:t>
      </w:r>
      <w:r>
        <w:rPr>
          <w:rFonts w:ascii="Calibri" w:hAnsi="Calibri" w:cs="Calibri"/>
          <w:sz w:val="24"/>
          <w:szCs w:val="24"/>
        </w:rPr>
        <w:t xml:space="preserve">] </w:t>
      </w:r>
      <w:r w:rsidRPr="004F75A2">
        <w:rPr>
          <w:rFonts w:ascii="Calibri" w:hAnsi="Calibri" w:cs="Calibri"/>
          <w:sz w:val="24"/>
          <w:szCs w:val="24"/>
        </w:rPr>
        <w:t xml:space="preserve">Krimināllikuma 137. pants </w:t>
      </w:r>
      <w:r>
        <w:rPr>
          <w:rFonts w:ascii="Calibri" w:hAnsi="Calibri" w:cs="Calibri"/>
          <w:sz w:val="24"/>
          <w:szCs w:val="24"/>
        </w:rPr>
        <w:t xml:space="preserve">paredz kriminālatbildību par </w:t>
      </w:r>
      <w:r w:rsidRPr="004F75A2">
        <w:rPr>
          <w:rFonts w:ascii="Calibri" w:hAnsi="Calibri" w:cs="Calibri"/>
          <w:sz w:val="24"/>
          <w:szCs w:val="24"/>
        </w:rPr>
        <w:t>neatļautu ārstniecību, ko veic persona bez atbilstošas kvalifikācijas. Savukārt Krimināllikuma 138. pants</w:t>
      </w:r>
      <w:r>
        <w:rPr>
          <w:rFonts w:ascii="Calibri" w:hAnsi="Calibri" w:cs="Calibri"/>
          <w:sz w:val="24"/>
          <w:szCs w:val="24"/>
        </w:rPr>
        <w:t xml:space="preserve"> </w:t>
      </w:r>
      <w:r w:rsidRPr="004F75A2">
        <w:rPr>
          <w:rFonts w:ascii="Calibri" w:hAnsi="Calibri" w:cs="Calibri"/>
          <w:sz w:val="24"/>
          <w:szCs w:val="24"/>
        </w:rPr>
        <w:t xml:space="preserve">paredz atbildību ārstniecības personai par profesionālo pienākumu nepienācīgu vai nolaidīgu pildīšanu, ja šis nodarījums aiz neuzmanības ir izraisījis cietušā nāvi vai kaitējumu veselībai. </w:t>
      </w:r>
      <w:r>
        <w:rPr>
          <w:rFonts w:ascii="Calibri" w:hAnsi="Calibri" w:cs="Calibri"/>
          <w:sz w:val="24"/>
          <w:szCs w:val="24"/>
        </w:rPr>
        <w:t>L</w:t>
      </w:r>
      <w:r w:rsidRPr="004F75A2">
        <w:rPr>
          <w:rFonts w:ascii="Calibri" w:hAnsi="Calibri" w:cs="Calibri"/>
          <w:sz w:val="24"/>
          <w:szCs w:val="24"/>
        </w:rPr>
        <w:t>ai iestātos kriminālatbildība saskaņā ar Krimināllikuma 138. pant</w:t>
      </w:r>
      <w:r>
        <w:rPr>
          <w:rFonts w:ascii="Calibri" w:hAnsi="Calibri" w:cs="Calibri"/>
          <w:sz w:val="24"/>
          <w:szCs w:val="24"/>
        </w:rPr>
        <w:t>u</w:t>
      </w:r>
      <w:r w:rsidRPr="004F75A2">
        <w:rPr>
          <w:rFonts w:ascii="Calibri" w:hAnsi="Calibri" w:cs="Calibri"/>
          <w:sz w:val="24"/>
          <w:szCs w:val="24"/>
        </w:rPr>
        <w:t>, ir jāpierāda</w:t>
      </w:r>
      <w:r>
        <w:rPr>
          <w:rFonts w:ascii="Calibri" w:hAnsi="Calibri" w:cs="Calibri"/>
          <w:sz w:val="24"/>
          <w:szCs w:val="24"/>
        </w:rPr>
        <w:t xml:space="preserve">, ka ir notikusi </w:t>
      </w:r>
      <w:r w:rsidRPr="004F75A2">
        <w:rPr>
          <w:rFonts w:ascii="Calibri" w:hAnsi="Calibri" w:cs="Calibri"/>
          <w:sz w:val="24"/>
          <w:szCs w:val="24"/>
        </w:rPr>
        <w:t>ārstniecības personas profesionālo pienākumu nolaidīga pildīšana, pacienta</w:t>
      </w:r>
      <w:r>
        <w:rPr>
          <w:rFonts w:ascii="Calibri" w:hAnsi="Calibri" w:cs="Calibri"/>
          <w:sz w:val="24"/>
          <w:szCs w:val="24"/>
        </w:rPr>
        <w:t xml:space="preserve"> veselības kaitējuma vai nāves </w:t>
      </w:r>
      <w:r w:rsidRPr="004F75A2">
        <w:rPr>
          <w:rFonts w:ascii="Calibri" w:hAnsi="Calibri" w:cs="Calibri"/>
          <w:sz w:val="24"/>
          <w:szCs w:val="24"/>
        </w:rPr>
        <w:t xml:space="preserve">fakta iestāšanās un tieša cēloņsakarība starp ārsta nolaidību un </w:t>
      </w:r>
      <w:r>
        <w:rPr>
          <w:rFonts w:ascii="Calibri" w:hAnsi="Calibri" w:cs="Calibri"/>
          <w:sz w:val="24"/>
          <w:szCs w:val="24"/>
        </w:rPr>
        <w:t>kaitīgajām vai letālajām</w:t>
      </w:r>
      <w:r w:rsidRPr="004F75A2">
        <w:rPr>
          <w:rFonts w:ascii="Calibri" w:hAnsi="Calibri" w:cs="Calibri"/>
          <w:sz w:val="24"/>
          <w:szCs w:val="24"/>
        </w:rPr>
        <w:t xml:space="preserve"> sekām.</w:t>
      </w:r>
      <w:r>
        <w:rPr>
          <w:rStyle w:val="FootnoteReference"/>
          <w:rFonts w:ascii="Calibri" w:hAnsi="Calibri" w:cs="Calibri"/>
          <w:sz w:val="24"/>
          <w:szCs w:val="24"/>
        </w:rPr>
        <w:footnoteReference w:id="14"/>
      </w:r>
    </w:p>
    <w:p w:rsidR="00C55393" w:rsidP="008E3445" w14:paraId="64C22EDB" w14:textId="3619884D">
      <w:pPr>
        <w:spacing w:before="240" w:line="360" w:lineRule="auto"/>
        <w:rPr>
          <w:rFonts w:ascii="Calibri" w:hAnsi="Calibri" w:cs="Calibri"/>
          <w:sz w:val="24"/>
          <w:szCs w:val="24"/>
        </w:rPr>
      </w:pPr>
      <w:r>
        <w:rPr>
          <w:rFonts w:ascii="Calibri" w:hAnsi="Calibri" w:cs="Calibri"/>
          <w:sz w:val="24"/>
          <w:szCs w:val="24"/>
        </w:rPr>
        <w:t>[</w:t>
      </w:r>
      <w:r w:rsidR="009D22D4">
        <w:rPr>
          <w:rFonts w:ascii="Calibri" w:hAnsi="Calibri" w:cs="Calibri"/>
          <w:sz w:val="24"/>
          <w:szCs w:val="24"/>
        </w:rPr>
        <w:t>7</w:t>
      </w:r>
      <w:r>
        <w:rPr>
          <w:rFonts w:ascii="Calibri" w:hAnsi="Calibri" w:cs="Calibri"/>
          <w:sz w:val="24"/>
          <w:szCs w:val="24"/>
        </w:rPr>
        <w:t xml:space="preserve">] </w:t>
      </w:r>
      <w:r w:rsidR="009D22D4">
        <w:rPr>
          <w:rFonts w:ascii="Calibri" w:hAnsi="Calibri" w:cs="Calibri"/>
          <w:sz w:val="24"/>
          <w:szCs w:val="24"/>
        </w:rPr>
        <w:t>Vienlaikus j</w:t>
      </w:r>
      <w:r>
        <w:rPr>
          <w:rFonts w:ascii="Calibri" w:hAnsi="Calibri" w:cs="Calibri"/>
          <w:sz w:val="24"/>
          <w:szCs w:val="24"/>
        </w:rPr>
        <w:t xml:space="preserve">āņem vērā, ka, lai gan </w:t>
      </w:r>
      <w:r w:rsidRPr="004F75A2">
        <w:rPr>
          <w:rFonts w:ascii="Calibri" w:hAnsi="Calibri" w:cs="Calibri"/>
          <w:sz w:val="24"/>
          <w:szCs w:val="24"/>
        </w:rPr>
        <w:t>Ārstniecības likuma 9.</w:t>
      </w:r>
      <w:r w:rsidRPr="004F75A2">
        <w:rPr>
          <w:rFonts w:ascii="Calibri" w:hAnsi="Calibri" w:cs="Calibri"/>
          <w:sz w:val="24"/>
          <w:szCs w:val="24"/>
          <w:vertAlign w:val="superscript"/>
        </w:rPr>
        <w:t>1</w:t>
      </w:r>
      <w:r w:rsidRPr="004F75A2">
        <w:rPr>
          <w:rFonts w:ascii="Calibri" w:hAnsi="Calibri" w:cs="Calibri"/>
          <w:sz w:val="24"/>
          <w:szCs w:val="24"/>
        </w:rPr>
        <w:t xml:space="preserve"> pants nosaka, ka ārstniecība veicama atbilstoši klīniskajām vadlīnijām vai uz pierādījumiem balstītiem medicīnas principiem</w:t>
      </w:r>
      <w:r>
        <w:rPr>
          <w:rFonts w:ascii="Calibri" w:hAnsi="Calibri" w:cs="Calibri"/>
          <w:sz w:val="24"/>
          <w:szCs w:val="24"/>
        </w:rPr>
        <w:t xml:space="preserve">, šī  likuma </w:t>
      </w:r>
      <w:r w:rsidRPr="00FA578A">
        <w:rPr>
          <w:rFonts w:ascii="Calibri" w:hAnsi="Calibri" w:cs="Calibri"/>
          <w:sz w:val="24"/>
          <w:szCs w:val="24"/>
        </w:rPr>
        <w:t>38.</w:t>
      </w:r>
      <w:r>
        <w:rPr>
          <w:rFonts w:ascii="Calibri" w:hAnsi="Calibri" w:cs="Calibri"/>
          <w:sz w:val="24"/>
          <w:szCs w:val="24"/>
        </w:rPr>
        <w:t xml:space="preserve"> </w:t>
      </w:r>
      <w:r w:rsidRPr="00FA578A">
        <w:rPr>
          <w:rFonts w:ascii="Calibri" w:hAnsi="Calibri" w:cs="Calibri"/>
          <w:sz w:val="24"/>
          <w:szCs w:val="24"/>
        </w:rPr>
        <w:t>pant</w:t>
      </w:r>
      <w:r>
        <w:rPr>
          <w:rFonts w:ascii="Calibri" w:hAnsi="Calibri" w:cs="Calibri"/>
          <w:sz w:val="24"/>
          <w:szCs w:val="24"/>
        </w:rPr>
        <w:t xml:space="preserve">s nosaka, ka </w:t>
      </w:r>
      <w:r w:rsidRPr="00FA578A">
        <w:rPr>
          <w:rFonts w:ascii="Calibri" w:hAnsi="Calibri" w:cs="Calibri"/>
          <w:sz w:val="24"/>
          <w:szCs w:val="24"/>
        </w:rPr>
        <w:t>profesionālajā darbībā ārsts ir brīvs</w:t>
      </w:r>
      <w:r>
        <w:rPr>
          <w:rFonts w:ascii="Calibri" w:hAnsi="Calibri" w:cs="Calibri"/>
          <w:sz w:val="24"/>
          <w:szCs w:val="24"/>
        </w:rPr>
        <w:t>. Tiesu prakse norāda, ka s</w:t>
      </w:r>
      <w:r w:rsidRPr="004F75A2">
        <w:rPr>
          <w:rFonts w:ascii="Calibri" w:hAnsi="Calibri" w:cs="Calibri"/>
          <w:sz w:val="24"/>
          <w:szCs w:val="24"/>
        </w:rPr>
        <w:t>ituācijās, kad pastāv dažādi viedokļi par ārstēšanas taktiku, ārstam ir tiesības izvēlēties ārstēšanas veidu atbilstoši savai pārliecībai par pacientam labāko</w:t>
      </w:r>
      <w:r>
        <w:rPr>
          <w:rFonts w:ascii="Calibri" w:hAnsi="Calibri" w:cs="Calibri"/>
          <w:sz w:val="24"/>
          <w:szCs w:val="24"/>
        </w:rPr>
        <w:t>. M</w:t>
      </w:r>
      <w:r w:rsidRPr="004F75A2">
        <w:rPr>
          <w:rFonts w:ascii="Calibri" w:hAnsi="Calibri" w:cs="Calibri"/>
          <w:sz w:val="24"/>
          <w:szCs w:val="24"/>
        </w:rPr>
        <w:t>edicīniskās aprūpes pārkāpums ir konstatējams tikai tad, ja ārsts</w:t>
      </w:r>
      <w:r>
        <w:rPr>
          <w:rFonts w:ascii="Calibri" w:hAnsi="Calibri" w:cs="Calibri"/>
          <w:sz w:val="24"/>
          <w:szCs w:val="24"/>
        </w:rPr>
        <w:t xml:space="preserve"> </w:t>
      </w:r>
      <w:r w:rsidRPr="004F75A2">
        <w:rPr>
          <w:rFonts w:ascii="Calibri" w:hAnsi="Calibri" w:cs="Calibri"/>
          <w:sz w:val="24"/>
          <w:szCs w:val="24"/>
        </w:rPr>
        <w:t>acīmredzami ir pārkāpis klīniskās vadlīnijas vai uz pierādījumiem balstītus medicīnas principus</w:t>
      </w:r>
      <w:r>
        <w:rPr>
          <w:rFonts w:ascii="Calibri" w:hAnsi="Calibri" w:cs="Calibri"/>
          <w:sz w:val="24"/>
          <w:szCs w:val="24"/>
        </w:rPr>
        <w:t>.</w:t>
      </w:r>
      <w:r>
        <w:rPr>
          <w:rFonts w:ascii="Calibri" w:hAnsi="Calibri" w:cs="Calibri"/>
          <w:sz w:val="24"/>
          <w:szCs w:val="24"/>
          <w:vertAlign w:val="superscript"/>
        </w:rPr>
        <w:footnoteReference w:id="15"/>
      </w:r>
      <w:r>
        <w:rPr>
          <w:rFonts w:ascii="Calibri" w:hAnsi="Calibri" w:cs="Calibri"/>
          <w:sz w:val="24"/>
          <w:szCs w:val="24"/>
        </w:rPr>
        <w:t xml:space="preserve"> Ņemot vērā, ka šobrīd starptautiski nav vienotas pieejas, kā ārstēt bērnus ar dzimumidentitātes traucējumiem, kā arī, ka Latvijā nav izstrādāta vienota pieeja šādu bērnu ārstniecībai, </w:t>
      </w:r>
      <w:r w:rsidR="006856FF">
        <w:rPr>
          <w:rFonts w:ascii="Calibri" w:hAnsi="Calibri" w:cs="Calibri"/>
          <w:sz w:val="24"/>
          <w:szCs w:val="24"/>
        </w:rPr>
        <w:t>iespējams</w:t>
      </w:r>
      <w:r>
        <w:rPr>
          <w:rFonts w:ascii="Calibri" w:hAnsi="Calibri" w:cs="Calibri"/>
          <w:sz w:val="24"/>
          <w:szCs w:val="24"/>
        </w:rPr>
        <w:t xml:space="preserve">, ka ārstu </w:t>
      </w:r>
      <w:r w:rsidR="006856FF">
        <w:rPr>
          <w:rFonts w:ascii="Calibri" w:hAnsi="Calibri" w:cs="Calibri"/>
          <w:sz w:val="24"/>
          <w:szCs w:val="24"/>
        </w:rPr>
        <w:t>ne</w:t>
      </w:r>
      <w:r>
        <w:rPr>
          <w:rFonts w:ascii="Calibri" w:hAnsi="Calibri" w:cs="Calibri"/>
          <w:sz w:val="24"/>
          <w:szCs w:val="24"/>
        </w:rPr>
        <w:t xml:space="preserve">varētu saukt pie </w:t>
      </w:r>
      <w:r w:rsidR="006856FF">
        <w:rPr>
          <w:rFonts w:ascii="Calibri" w:hAnsi="Calibri" w:cs="Calibri"/>
          <w:sz w:val="24"/>
          <w:szCs w:val="24"/>
        </w:rPr>
        <w:t>atbildības</w:t>
      </w:r>
      <w:r>
        <w:rPr>
          <w:rFonts w:ascii="Calibri" w:hAnsi="Calibri" w:cs="Calibri"/>
          <w:sz w:val="24"/>
          <w:szCs w:val="24"/>
        </w:rPr>
        <w:t xml:space="preserve"> par bērna ar dzimumidentitātes traucējumiem </w:t>
      </w:r>
      <w:r w:rsidR="006856FF">
        <w:rPr>
          <w:rFonts w:ascii="Calibri" w:hAnsi="Calibri" w:cs="Calibri"/>
          <w:sz w:val="24"/>
          <w:szCs w:val="24"/>
        </w:rPr>
        <w:t>medikamentozo ārstēšanu ar pubertātes bloķētājiem vai kross – hormonālo terapiju</w:t>
      </w:r>
      <w:r>
        <w:rPr>
          <w:rFonts w:ascii="Calibri" w:hAnsi="Calibri" w:cs="Calibri"/>
          <w:sz w:val="24"/>
          <w:szCs w:val="24"/>
        </w:rPr>
        <w:t>, pat, ja šāda ārstēšana</w:t>
      </w:r>
      <w:r w:rsidR="006856FF">
        <w:rPr>
          <w:rFonts w:ascii="Calibri" w:hAnsi="Calibri" w:cs="Calibri"/>
          <w:sz w:val="24"/>
          <w:szCs w:val="24"/>
        </w:rPr>
        <w:t xml:space="preserve"> bērnam</w:t>
      </w:r>
      <w:r>
        <w:rPr>
          <w:rFonts w:ascii="Calibri" w:hAnsi="Calibri" w:cs="Calibri"/>
          <w:sz w:val="24"/>
          <w:szCs w:val="24"/>
        </w:rPr>
        <w:t xml:space="preserve"> </w:t>
      </w:r>
      <w:r w:rsidR="006856FF">
        <w:rPr>
          <w:rFonts w:ascii="Calibri" w:hAnsi="Calibri" w:cs="Calibri"/>
          <w:sz w:val="24"/>
          <w:szCs w:val="24"/>
        </w:rPr>
        <w:t>nodarītu kaitējumu</w:t>
      </w:r>
      <w:r>
        <w:rPr>
          <w:rFonts w:ascii="Calibri" w:hAnsi="Calibri" w:cs="Calibri"/>
          <w:sz w:val="24"/>
          <w:szCs w:val="24"/>
        </w:rPr>
        <w:t xml:space="preserve"> veselība</w:t>
      </w:r>
      <w:r w:rsidR="006856FF">
        <w:rPr>
          <w:rFonts w:ascii="Calibri" w:hAnsi="Calibri" w:cs="Calibri"/>
          <w:sz w:val="24"/>
          <w:szCs w:val="24"/>
        </w:rPr>
        <w:t>i</w:t>
      </w:r>
      <w:r w:rsidRPr="00ED1D18">
        <w:rPr>
          <w:rFonts w:ascii="Calibri" w:hAnsi="Calibri" w:cs="Calibri"/>
          <w:sz w:val="24"/>
          <w:szCs w:val="24"/>
        </w:rPr>
        <w:t>.</w:t>
      </w:r>
      <w:r>
        <w:rPr>
          <w:rFonts w:ascii="Calibri" w:hAnsi="Calibri" w:cs="Calibri"/>
          <w:sz w:val="24"/>
          <w:szCs w:val="24"/>
        </w:rPr>
        <w:t xml:space="preserve">  </w:t>
      </w:r>
    </w:p>
    <w:p w:rsidR="00C55393" w:rsidP="008E3445" w14:paraId="101C0E37" w14:textId="77777777">
      <w:pPr>
        <w:pStyle w:val="Header"/>
        <w:tabs>
          <w:tab w:val="clear" w:pos="4153"/>
        </w:tabs>
        <w:spacing w:before="240" w:line="360" w:lineRule="auto"/>
        <w:rPr>
          <w:rFonts w:ascii="Calibri" w:hAnsi="Calibri" w:cs="Calibri"/>
          <w:sz w:val="24"/>
          <w:szCs w:val="24"/>
          <w:lang w:val="lv-LV"/>
        </w:rPr>
      </w:pPr>
      <w:r>
        <w:rPr>
          <w:rFonts w:ascii="Calibri" w:hAnsi="Calibri" w:cs="Calibri"/>
          <w:sz w:val="24"/>
          <w:szCs w:val="24"/>
          <w:lang w:val="lv-LV"/>
        </w:rPr>
        <w:t xml:space="preserve">[8] </w:t>
      </w:r>
      <w:r w:rsidRPr="00FD0B18">
        <w:rPr>
          <w:rFonts w:ascii="Calibri" w:hAnsi="Calibri" w:cs="Calibri"/>
          <w:sz w:val="24"/>
          <w:szCs w:val="24"/>
          <w:lang w:val="lv-LV"/>
        </w:rPr>
        <w:t xml:space="preserve">Jautājumi par dzimumidentitātes traucējumiem ir kompleksi un to izpratnei būtu nepieciešams izstrādāt atbilstošas </w:t>
      </w:r>
      <w:r>
        <w:rPr>
          <w:rFonts w:ascii="Calibri" w:hAnsi="Calibri" w:cs="Calibri"/>
          <w:sz w:val="24"/>
          <w:szCs w:val="24"/>
          <w:lang w:val="lv-LV"/>
        </w:rPr>
        <w:t xml:space="preserve">uz pierādījumiem balstītas </w:t>
      </w:r>
      <w:r w:rsidRPr="00FD0B18">
        <w:rPr>
          <w:rFonts w:ascii="Calibri" w:hAnsi="Calibri" w:cs="Calibri"/>
          <w:sz w:val="24"/>
          <w:szCs w:val="24"/>
          <w:lang w:val="lv-LV"/>
        </w:rPr>
        <w:t>vadlīnijas</w:t>
      </w:r>
      <w:r>
        <w:rPr>
          <w:rFonts w:ascii="Calibri" w:hAnsi="Calibri" w:cs="Calibri"/>
          <w:sz w:val="24"/>
          <w:szCs w:val="24"/>
          <w:lang w:val="lv-LV"/>
        </w:rPr>
        <w:t>. Savukārt, balstoties uz šādām vadlīnijām, k</w:t>
      </w:r>
      <w:r w:rsidRPr="00FD0B18">
        <w:rPr>
          <w:rFonts w:ascii="Calibri" w:hAnsi="Calibri" w:cs="Calibri"/>
          <w:sz w:val="24"/>
          <w:szCs w:val="24"/>
          <w:lang w:val="lv-LV"/>
        </w:rPr>
        <w:t>onkrēt</w:t>
      </w:r>
      <w:r>
        <w:rPr>
          <w:rFonts w:ascii="Calibri" w:hAnsi="Calibri" w:cs="Calibri"/>
          <w:sz w:val="24"/>
          <w:szCs w:val="24"/>
          <w:lang w:val="lv-LV"/>
        </w:rPr>
        <w:t>i</w:t>
      </w:r>
      <w:r w:rsidRPr="00FD0B18">
        <w:rPr>
          <w:rFonts w:ascii="Calibri" w:hAnsi="Calibri" w:cs="Calibri"/>
          <w:sz w:val="24"/>
          <w:szCs w:val="24"/>
          <w:lang w:val="lv-LV"/>
        </w:rPr>
        <w:t xml:space="preserve"> ārstniecisk</w:t>
      </w:r>
      <w:r>
        <w:rPr>
          <w:rFonts w:ascii="Calibri" w:hAnsi="Calibri" w:cs="Calibri"/>
          <w:sz w:val="24"/>
          <w:szCs w:val="24"/>
          <w:lang w:val="lv-LV"/>
        </w:rPr>
        <w:t>o</w:t>
      </w:r>
      <w:r w:rsidRPr="00FD0B18">
        <w:rPr>
          <w:rFonts w:ascii="Calibri" w:hAnsi="Calibri" w:cs="Calibri"/>
          <w:sz w:val="24"/>
          <w:szCs w:val="24"/>
          <w:lang w:val="lv-LV"/>
        </w:rPr>
        <w:t xml:space="preserve"> manipulāciju izmantošanas aizliegum</w:t>
      </w:r>
      <w:r>
        <w:rPr>
          <w:rFonts w:ascii="Calibri" w:hAnsi="Calibri" w:cs="Calibri"/>
          <w:sz w:val="24"/>
          <w:szCs w:val="24"/>
          <w:lang w:val="lv-LV"/>
        </w:rPr>
        <w:t>i</w:t>
      </w:r>
      <w:r w:rsidRPr="00FD0B18">
        <w:rPr>
          <w:rFonts w:ascii="Calibri" w:hAnsi="Calibri" w:cs="Calibri"/>
          <w:sz w:val="24"/>
          <w:szCs w:val="24"/>
          <w:lang w:val="lv-LV"/>
        </w:rPr>
        <w:t xml:space="preserve"> var tikt n</w:t>
      </w:r>
      <w:r>
        <w:rPr>
          <w:rFonts w:ascii="Calibri" w:hAnsi="Calibri" w:cs="Calibri"/>
          <w:sz w:val="24"/>
          <w:szCs w:val="24"/>
          <w:lang w:val="lv-LV"/>
        </w:rPr>
        <w:t xml:space="preserve">oteikti ārstniecības nozarei atbilstošos tiesību aktos (piemēram, </w:t>
      </w:r>
      <w:r w:rsidRPr="00E03E8F">
        <w:rPr>
          <w:rFonts w:ascii="Calibri" w:hAnsi="Calibri" w:cs="Calibri"/>
          <w:sz w:val="24"/>
          <w:szCs w:val="24"/>
          <w:lang w:val="lv-LV"/>
        </w:rPr>
        <w:t>Seksuālās un reproduktīvās veselības likum</w:t>
      </w:r>
      <w:r>
        <w:rPr>
          <w:rFonts w:ascii="Calibri" w:hAnsi="Calibri" w:cs="Calibri"/>
          <w:sz w:val="24"/>
          <w:szCs w:val="24"/>
          <w:lang w:val="lv-LV"/>
        </w:rPr>
        <w:t xml:space="preserve">ā). Ja ārsts neievērotu šādas vadlīnijas un tiesību aktos noteiktos ierobežojumus, ārstu varētu saukt pie </w:t>
      </w:r>
      <w:r>
        <w:rPr>
          <w:rFonts w:ascii="Calibri" w:hAnsi="Calibri" w:cs="Calibri"/>
          <w:sz w:val="24"/>
          <w:szCs w:val="24"/>
          <w:lang w:val="lv-LV"/>
        </w:rPr>
        <w:t>administratīvās</w:t>
      </w:r>
      <w:r>
        <w:rPr>
          <w:rStyle w:val="FootnoteReference"/>
          <w:rFonts w:ascii="Calibri" w:hAnsi="Calibri" w:cs="Calibri"/>
          <w:sz w:val="24"/>
          <w:szCs w:val="24"/>
          <w:lang w:val="lv-LV"/>
        </w:rPr>
        <w:footnoteReference w:id="16"/>
      </w:r>
      <w:r>
        <w:rPr>
          <w:rFonts w:ascii="Calibri" w:hAnsi="Calibri" w:cs="Calibri"/>
          <w:sz w:val="24"/>
          <w:szCs w:val="24"/>
          <w:lang w:val="lv-LV"/>
        </w:rPr>
        <w:t xml:space="preserve"> vai kriminālatbildības</w:t>
      </w:r>
      <w:r>
        <w:rPr>
          <w:rStyle w:val="FootnoteReference"/>
          <w:rFonts w:ascii="Calibri" w:hAnsi="Calibri" w:cs="Calibri"/>
          <w:sz w:val="24"/>
          <w:szCs w:val="24"/>
          <w:lang w:val="lv-LV"/>
        </w:rPr>
        <w:footnoteReference w:id="17"/>
      </w:r>
      <w:r>
        <w:rPr>
          <w:rFonts w:ascii="Calibri" w:hAnsi="Calibri" w:cs="Calibri"/>
          <w:sz w:val="24"/>
          <w:szCs w:val="24"/>
          <w:lang w:val="lv-LV"/>
        </w:rPr>
        <w:t xml:space="preserve">. Šādu tiesību aktu vai vadlīniju izstrādei būtu jānotiek sadarbībā ar kompetentām ārstniecības institūcijām. </w:t>
      </w:r>
    </w:p>
    <w:p w:rsidR="00BA2E4C" w:rsidRPr="001A3604" w:rsidP="006A7795" w14:paraId="42743A56" w14:textId="77777777">
      <w:pPr>
        <w:pStyle w:val="Header"/>
        <w:tabs>
          <w:tab w:val="clear" w:pos="4153"/>
        </w:tabs>
        <w:spacing w:before="480" w:line="360" w:lineRule="auto"/>
        <w:jc w:val="both"/>
        <w:rPr>
          <w:rFonts w:asciiTheme="minorHAnsi" w:hAnsiTheme="minorHAnsi" w:cstheme="minorHAnsi"/>
          <w:sz w:val="24"/>
          <w:szCs w:val="24"/>
          <w:lang w:val="lv-LV"/>
        </w:rPr>
      </w:pPr>
      <w:r w:rsidRPr="001A3604">
        <w:rPr>
          <w:rFonts w:asciiTheme="minorHAnsi" w:hAnsiTheme="minorHAnsi" w:cstheme="minorHAnsi"/>
          <w:sz w:val="24"/>
          <w:szCs w:val="24"/>
          <w:lang w:val="lv-LV"/>
        </w:rPr>
        <w:t>Ar cieņu</w:t>
      </w:r>
    </w:p>
    <w:p w:rsidR="003277AE" w:rsidRPr="001A3604" w:rsidP="00783BB1" w14:paraId="61E2FDB3" w14:textId="1262EAD5">
      <w:pPr>
        <w:pStyle w:val="Header"/>
        <w:tabs>
          <w:tab w:val="clear" w:pos="4153"/>
        </w:tabs>
        <w:spacing w:line="360" w:lineRule="auto"/>
        <w:jc w:val="both"/>
        <w:rPr>
          <w:rFonts w:asciiTheme="minorHAnsi" w:hAnsiTheme="minorHAnsi" w:cstheme="minorHAnsi"/>
          <w:sz w:val="24"/>
          <w:szCs w:val="24"/>
          <w:lang w:val="lv-LV"/>
        </w:rPr>
      </w:pPr>
      <w:r w:rsidRPr="001A3604">
        <w:rPr>
          <w:rFonts w:asciiTheme="minorHAnsi" w:hAnsiTheme="minorHAnsi" w:cstheme="minorHAnsi"/>
          <w:noProof/>
          <w:sz w:val="24"/>
          <w:szCs w:val="24"/>
          <w:lang w:val="lv-LV"/>
        </w:rPr>
        <w:t>tiesībsardze</w:t>
      </w:r>
      <w:r>
        <w:ptab w:relativeTo="margin" w:alignment="right" w:leader="none"/>
      </w:r>
      <w:r w:rsidRPr="001A3604">
        <w:rPr>
          <w:rFonts w:asciiTheme="minorHAnsi" w:hAnsiTheme="minorHAnsi" w:cstheme="minorHAnsi"/>
          <w:noProof/>
          <w:sz w:val="24"/>
          <w:szCs w:val="24"/>
          <w:lang w:val="lv-LV"/>
        </w:rPr>
        <w:t>Karina Palkova</w:t>
      </w:r>
    </w:p>
    <w:p w:rsidR="000706AE" w:rsidRPr="00783BB1" w:rsidP="006A7795" w14:paraId="1F62F0D1" w14:textId="77777777">
      <w:pPr>
        <w:pStyle w:val="Header"/>
        <w:tabs>
          <w:tab w:val="clear" w:pos="4153"/>
          <w:tab w:val="clear" w:pos="8306"/>
        </w:tabs>
        <w:spacing w:before="480" w:line="360" w:lineRule="auto"/>
        <w:jc w:val="both"/>
        <w:rPr>
          <w:rFonts w:asciiTheme="minorHAnsi" w:hAnsiTheme="minorHAnsi" w:cstheme="minorHAnsi"/>
          <w:sz w:val="20"/>
          <w:lang w:val="lv-LV"/>
        </w:rPr>
      </w:pPr>
      <w:r w:rsidRPr="00783BB1">
        <w:rPr>
          <w:rFonts w:asciiTheme="minorHAnsi" w:hAnsiTheme="minorHAnsi" w:cstheme="minorHAnsi"/>
          <w:noProof/>
          <w:sz w:val="20"/>
          <w:lang w:val="lv-LV"/>
        </w:rPr>
        <w:t>Kristīna Freiberga</w:t>
      </w:r>
    </w:p>
    <w:p w:rsidR="000706AE" w:rsidP="00783BB1" w14:paraId="31BD4404" w14:textId="77777777">
      <w:pPr>
        <w:pStyle w:val="Header"/>
        <w:tabs>
          <w:tab w:val="clear" w:pos="4153"/>
          <w:tab w:val="clear" w:pos="8306"/>
        </w:tabs>
        <w:spacing w:line="360" w:lineRule="auto"/>
        <w:jc w:val="both"/>
        <w:rPr>
          <w:rFonts w:asciiTheme="minorHAnsi" w:hAnsiTheme="minorHAnsi" w:cstheme="minorHAnsi"/>
          <w:sz w:val="20"/>
          <w:lang w:val="lv-LV"/>
        </w:rPr>
      </w:pPr>
      <w:r w:rsidRPr="00783BB1">
        <w:rPr>
          <w:rFonts w:asciiTheme="minorHAnsi" w:hAnsiTheme="minorHAnsi" w:cstheme="minorHAnsi"/>
          <w:noProof/>
          <w:sz w:val="20"/>
          <w:lang w:val="lv-LV"/>
        </w:rPr>
        <w:t>kristina.freiberga@tiesibsargs.lv</w:t>
      </w:r>
    </w:p>
    <w:sectPr w:rsidSect="00AB01B6">
      <w:headerReference w:type="even" r:id="rId6"/>
      <w:headerReference w:type="default" r:id="rId7"/>
      <w:pgSz w:w="11906" w:h="16838"/>
      <w:pgMar w:top="851"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Tilde">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007A" w14:paraId="7BEC7B11" w14:textId="77777777">
      <w:r>
        <w:separator/>
      </w:r>
    </w:p>
  </w:footnote>
  <w:footnote w:type="continuationSeparator" w:id="1">
    <w:p w:rsidR="00EA007A" w14:paraId="68C54159" w14:textId="77777777">
      <w:r>
        <w:continuationSeparator/>
      </w:r>
    </w:p>
  </w:footnote>
  <w:footnote w:id="2">
    <w:p w:rsidR="00C55393" w:rsidRPr="00642290" w:rsidP="00C55393" w14:paraId="1F5A1ADD" w14:textId="77777777">
      <w:pPr>
        <w:pStyle w:val="FootnoteText"/>
        <w:spacing w:line="240" w:lineRule="auto"/>
        <w:rPr>
          <w:rFonts w:cstheme="minorHAnsi"/>
        </w:rPr>
      </w:pPr>
      <w:r w:rsidRPr="00642290">
        <w:rPr>
          <w:rStyle w:val="FootnoteReference"/>
          <w:rFonts w:cstheme="minorHAnsi"/>
        </w:rPr>
        <w:footnoteRef/>
      </w:r>
      <w:r w:rsidRPr="00642290">
        <w:rPr>
          <w:rFonts w:cstheme="minorHAnsi"/>
        </w:rPr>
        <w:t xml:space="preserve"> Apstiprinošais klīniskais modelis paredz, ka bērna paša izteiktā </w:t>
      </w:r>
      <w:r w:rsidRPr="00642290">
        <w:rPr>
          <w:rFonts w:cstheme="minorHAnsi"/>
        </w:rPr>
        <w:t>dzimumidentitāte</w:t>
      </w:r>
      <w:r w:rsidRPr="00642290">
        <w:rPr>
          <w:rFonts w:cstheme="minorHAnsi"/>
        </w:rPr>
        <w:t xml:space="preserve"> tiek pieņemta kā patiesa un noteicoša, un klīniskā aprūpe ir vērsta uz šīs identitātes apstiprināšanu un atbalstīšanu.</w:t>
      </w:r>
    </w:p>
  </w:footnote>
  <w:footnote w:id="3">
    <w:p w:rsidR="00C55393" w:rsidRPr="00642290" w:rsidP="00C55393" w14:paraId="5EC563AE" w14:textId="1A5577B7">
      <w:pPr>
        <w:pStyle w:val="FootnoteText"/>
        <w:spacing w:line="240" w:lineRule="auto"/>
        <w:rPr>
          <w:rFonts w:cstheme="minorHAnsi"/>
        </w:rPr>
      </w:pPr>
      <w:r w:rsidRPr="00642290">
        <w:rPr>
          <w:rStyle w:val="FootnoteReference"/>
          <w:rFonts w:cstheme="minorHAnsi"/>
        </w:rPr>
        <w:footnoteRef/>
      </w:r>
      <w:r w:rsidRPr="00642290">
        <w:rPr>
          <w:rFonts w:cstheme="minorHAnsi"/>
        </w:rPr>
        <w:t xml:space="preserve"> Medicīnisk</w:t>
      </w:r>
      <w:r>
        <w:rPr>
          <w:rFonts w:cstheme="minorHAnsi"/>
        </w:rPr>
        <w:t xml:space="preserve">ās </w:t>
      </w:r>
      <w:r w:rsidRPr="00642290">
        <w:rPr>
          <w:rFonts w:cstheme="minorHAnsi"/>
        </w:rPr>
        <w:t xml:space="preserve">dzimumu apliecinošās intervences ietver </w:t>
      </w:r>
      <w:r w:rsidRPr="00642290">
        <w:rPr>
          <w:rFonts w:cstheme="minorHAnsi"/>
        </w:rPr>
        <w:t>histerektomiju</w:t>
      </w:r>
      <w:r w:rsidRPr="00642290">
        <w:rPr>
          <w:rFonts w:cstheme="minorHAnsi"/>
        </w:rPr>
        <w:t xml:space="preserve"> +/- divpusēju </w:t>
      </w:r>
      <w:r w:rsidRPr="00642290">
        <w:rPr>
          <w:rFonts w:cstheme="minorHAnsi"/>
        </w:rPr>
        <w:t>salpingooforektomiju</w:t>
      </w:r>
      <w:r w:rsidRPr="00642290">
        <w:rPr>
          <w:rFonts w:cstheme="minorHAnsi"/>
        </w:rPr>
        <w:t xml:space="preserve">; divpusēju </w:t>
      </w:r>
      <w:r w:rsidRPr="00642290">
        <w:rPr>
          <w:rFonts w:cstheme="minorHAnsi"/>
        </w:rPr>
        <w:t>mastektomiju</w:t>
      </w:r>
      <w:r w:rsidRPr="00642290">
        <w:rPr>
          <w:rFonts w:cstheme="minorHAnsi"/>
        </w:rPr>
        <w:t xml:space="preserve">, krūškurvja rekonstrukciju vai feminizējošu </w:t>
      </w:r>
      <w:r w:rsidRPr="00642290">
        <w:rPr>
          <w:rFonts w:cstheme="minorHAnsi"/>
        </w:rPr>
        <w:t>mammoplastiku</w:t>
      </w:r>
      <w:r w:rsidRPr="00642290">
        <w:rPr>
          <w:rFonts w:cstheme="minorHAnsi"/>
        </w:rPr>
        <w:t xml:space="preserve">, krūtsgalu izmēra maiņu vai krūšu protēžu ievietošanu; dzimumorgānu rekonstrukciju, piemēram, </w:t>
      </w:r>
      <w:r w:rsidRPr="00642290">
        <w:rPr>
          <w:rFonts w:cstheme="minorHAnsi"/>
        </w:rPr>
        <w:t>falloplastiku</w:t>
      </w:r>
      <w:r w:rsidRPr="00642290">
        <w:rPr>
          <w:rFonts w:cstheme="minorHAnsi"/>
        </w:rPr>
        <w:t xml:space="preserve"> un </w:t>
      </w:r>
      <w:r w:rsidRPr="00642290">
        <w:rPr>
          <w:rFonts w:cstheme="minorHAnsi"/>
        </w:rPr>
        <w:t>metoidioplastiku</w:t>
      </w:r>
      <w:r w:rsidRPr="00642290">
        <w:rPr>
          <w:rFonts w:cstheme="minorHAnsi"/>
        </w:rPr>
        <w:t xml:space="preserve">, </w:t>
      </w:r>
      <w:r w:rsidRPr="00642290">
        <w:rPr>
          <w:rFonts w:cstheme="minorHAnsi"/>
        </w:rPr>
        <w:t>skrotoplastiku</w:t>
      </w:r>
      <w:r w:rsidRPr="00642290">
        <w:rPr>
          <w:rFonts w:cstheme="minorHAnsi"/>
        </w:rPr>
        <w:t xml:space="preserve">, kā arī dzimumlocekļa un sēklinieku protēzes, </w:t>
      </w:r>
      <w:r w:rsidRPr="00642290">
        <w:rPr>
          <w:rFonts w:cstheme="minorHAnsi"/>
        </w:rPr>
        <w:t>penektomiju</w:t>
      </w:r>
      <w:r w:rsidRPr="00642290">
        <w:rPr>
          <w:rFonts w:cstheme="minorHAnsi"/>
        </w:rPr>
        <w:t xml:space="preserve">, </w:t>
      </w:r>
      <w:r w:rsidRPr="00642290">
        <w:rPr>
          <w:rFonts w:cstheme="minorHAnsi"/>
        </w:rPr>
        <w:t>orhiektomiju</w:t>
      </w:r>
      <w:r w:rsidRPr="00642290">
        <w:rPr>
          <w:rFonts w:cstheme="minorHAnsi"/>
        </w:rPr>
        <w:t xml:space="preserve">, </w:t>
      </w:r>
      <w:r w:rsidRPr="00642290">
        <w:rPr>
          <w:rFonts w:cstheme="minorHAnsi"/>
        </w:rPr>
        <w:t>vaginoplastiku</w:t>
      </w:r>
      <w:r w:rsidRPr="00642290">
        <w:rPr>
          <w:rFonts w:cstheme="minorHAnsi"/>
        </w:rPr>
        <w:t xml:space="preserve"> un </w:t>
      </w:r>
      <w:r w:rsidRPr="00642290">
        <w:rPr>
          <w:rFonts w:cstheme="minorHAnsi"/>
        </w:rPr>
        <w:t>vulvoplastiku</w:t>
      </w:r>
      <w:r w:rsidRPr="00642290">
        <w:rPr>
          <w:rFonts w:cstheme="minorHAnsi"/>
        </w:rPr>
        <w:t xml:space="preserve">; dzimumu apliecinošu sejas ķirurģiju un ķermeņa </w:t>
      </w:r>
      <w:r w:rsidRPr="00642290">
        <w:rPr>
          <w:rFonts w:cstheme="minorHAnsi"/>
        </w:rPr>
        <w:t>konturēšanu</w:t>
      </w:r>
      <w:r w:rsidRPr="00642290">
        <w:rPr>
          <w:rFonts w:cstheme="minorHAnsi"/>
        </w:rPr>
        <w:t xml:space="preserve">; balss terapiju un/vai ķirurģiju; kā arī pubertāti bloķējošu medikamentu un dzimumu apliecinošu hormonu lietošanu (Avots: </w:t>
      </w:r>
      <w:r w:rsidRPr="00642290">
        <w:rPr>
          <w:rFonts w:cstheme="minorHAnsi"/>
        </w:rPr>
        <w:t>Coleman</w:t>
      </w:r>
      <w:r w:rsidRPr="00642290">
        <w:rPr>
          <w:rFonts w:cstheme="minorHAnsi"/>
        </w:rPr>
        <w:t xml:space="preserve">, E., </w:t>
      </w:r>
      <w:r w:rsidRPr="00642290">
        <w:rPr>
          <w:rFonts w:cstheme="minorHAnsi"/>
        </w:rPr>
        <w:t>et</w:t>
      </w:r>
      <w:r w:rsidRPr="00642290">
        <w:rPr>
          <w:rFonts w:cstheme="minorHAnsi"/>
        </w:rPr>
        <w:t xml:space="preserve"> </w:t>
      </w:r>
      <w:r w:rsidRPr="00642290">
        <w:rPr>
          <w:rFonts w:cstheme="minorHAnsi"/>
        </w:rPr>
        <w:t>al</w:t>
      </w:r>
      <w:r w:rsidRPr="00642290">
        <w:rPr>
          <w:rFonts w:cstheme="minorHAnsi"/>
        </w:rPr>
        <w:t>. “</w:t>
      </w:r>
      <w:r w:rsidRPr="00642290">
        <w:rPr>
          <w:rFonts w:cstheme="minorHAnsi"/>
        </w:rPr>
        <w:t>Standards</w:t>
      </w:r>
      <w:r w:rsidRPr="00642290">
        <w:rPr>
          <w:rFonts w:cstheme="minorHAnsi"/>
        </w:rPr>
        <w:t xml:space="preserve"> </w:t>
      </w:r>
      <w:r w:rsidRPr="00642290">
        <w:rPr>
          <w:rFonts w:cstheme="minorHAnsi"/>
        </w:rPr>
        <w:t>of</w:t>
      </w:r>
      <w:r w:rsidRPr="00642290">
        <w:rPr>
          <w:rFonts w:cstheme="minorHAnsi"/>
        </w:rPr>
        <w:t xml:space="preserve"> </w:t>
      </w:r>
      <w:r w:rsidRPr="00642290">
        <w:rPr>
          <w:rFonts w:cstheme="minorHAnsi"/>
        </w:rPr>
        <w:t>Care</w:t>
      </w:r>
      <w:r w:rsidRPr="00642290">
        <w:rPr>
          <w:rFonts w:cstheme="minorHAnsi"/>
        </w:rPr>
        <w:t xml:space="preserve"> </w:t>
      </w:r>
      <w:r w:rsidRPr="00642290">
        <w:rPr>
          <w:rFonts w:cstheme="minorHAnsi"/>
        </w:rPr>
        <w:t>for</w:t>
      </w:r>
      <w:r w:rsidRPr="00642290">
        <w:rPr>
          <w:rFonts w:cstheme="minorHAnsi"/>
        </w:rPr>
        <w:t xml:space="preserve"> </w:t>
      </w:r>
      <w:r w:rsidRPr="00642290">
        <w:rPr>
          <w:rFonts w:cstheme="minorHAnsi"/>
        </w:rPr>
        <w:t>the</w:t>
      </w:r>
      <w:r w:rsidRPr="00642290">
        <w:rPr>
          <w:rFonts w:cstheme="minorHAnsi"/>
        </w:rPr>
        <w:t xml:space="preserve"> Health </w:t>
      </w:r>
      <w:r w:rsidRPr="00642290">
        <w:rPr>
          <w:rFonts w:cstheme="minorHAnsi"/>
        </w:rPr>
        <w:t>of</w:t>
      </w:r>
      <w:r w:rsidRPr="00642290">
        <w:rPr>
          <w:rFonts w:cstheme="minorHAnsi"/>
        </w:rPr>
        <w:t xml:space="preserve"> </w:t>
      </w:r>
      <w:r w:rsidRPr="00642290">
        <w:rPr>
          <w:rFonts w:cstheme="minorHAnsi"/>
        </w:rPr>
        <w:t>Transgender</w:t>
      </w:r>
      <w:r w:rsidRPr="00642290">
        <w:rPr>
          <w:rFonts w:cstheme="minorHAnsi"/>
        </w:rPr>
        <w:t xml:space="preserve"> </w:t>
      </w:r>
      <w:r w:rsidRPr="00642290">
        <w:rPr>
          <w:rFonts w:cstheme="minorHAnsi"/>
        </w:rPr>
        <w:t>and</w:t>
      </w:r>
      <w:r w:rsidRPr="00642290">
        <w:rPr>
          <w:rFonts w:cstheme="minorHAnsi"/>
        </w:rPr>
        <w:t xml:space="preserve"> </w:t>
      </w:r>
      <w:r w:rsidRPr="00642290">
        <w:rPr>
          <w:rFonts w:cstheme="minorHAnsi"/>
        </w:rPr>
        <w:t>Gender</w:t>
      </w:r>
      <w:r w:rsidRPr="00642290">
        <w:rPr>
          <w:rFonts w:cstheme="minorHAnsi"/>
        </w:rPr>
        <w:t xml:space="preserve"> </w:t>
      </w:r>
      <w:r w:rsidRPr="00642290">
        <w:rPr>
          <w:rFonts w:cstheme="minorHAnsi"/>
        </w:rPr>
        <w:t>Diverse</w:t>
      </w:r>
      <w:r w:rsidRPr="00642290">
        <w:rPr>
          <w:rFonts w:cstheme="minorHAnsi"/>
        </w:rPr>
        <w:t xml:space="preserve"> </w:t>
      </w:r>
      <w:r w:rsidRPr="00642290">
        <w:rPr>
          <w:rFonts w:cstheme="minorHAnsi"/>
        </w:rPr>
        <w:t>People</w:t>
      </w:r>
      <w:r w:rsidRPr="00642290">
        <w:rPr>
          <w:rFonts w:cstheme="minorHAnsi"/>
        </w:rPr>
        <w:t xml:space="preserve">, </w:t>
      </w:r>
      <w:r w:rsidRPr="00642290">
        <w:rPr>
          <w:rFonts w:cstheme="minorHAnsi"/>
        </w:rPr>
        <w:t>Version</w:t>
      </w:r>
      <w:r w:rsidRPr="00642290">
        <w:rPr>
          <w:rFonts w:cstheme="minorHAnsi"/>
        </w:rPr>
        <w:t xml:space="preserve"> 8.” </w:t>
      </w:r>
      <w:r w:rsidRPr="00642290">
        <w:rPr>
          <w:rFonts w:cstheme="minorHAnsi"/>
          <w:i/>
          <w:iCs/>
        </w:rPr>
        <w:t>International</w:t>
      </w:r>
      <w:r w:rsidRPr="00642290">
        <w:rPr>
          <w:rFonts w:cstheme="minorHAnsi"/>
          <w:i/>
          <w:iCs/>
        </w:rPr>
        <w:t xml:space="preserve"> </w:t>
      </w:r>
      <w:r w:rsidRPr="00642290">
        <w:rPr>
          <w:rFonts w:cstheme="minorHAnsi"/>
          <w:i/>
          <w:iCs/>
        </w:rPr>
        <w:t>Journal</w:t>
      </w:r>
      <w:r w:rsidRPr="00642290">
        <w:rPr>
          <w:rFonts w:cstheme="minorHAnsi"/>
          <w:i/>
          <w:iCs/>
        </w:rPr>
        <w:t xml:space="preserve"> </w:t>
      </w:r>
      <w:r w:rsidRPr="00642290">
        <w:rPr>
          <w:rFonts w:cstheme="minorHAnsi"/>
          <w:i/>
          <w:iCs/>
        </w:rPr>
        <w:t>of</w:t>
      </w:r>
      <w:r w:rsidRPr="00642290">
        <w:rPr>
          <w:rFonts w:cstheme="minorHAnsi"/>
          <w:i/>
          <w:iCs/>
        </w:rPr>
        <w:t xml:space="preserve"> </w:t>
      </w:r>
      <w:r w:rsidRPr="00642290">
        <w:rPr>
          <w:rFonts w:cstheme="minorHAnsi"/>
          <w:i/>
          <w:iCs/>
        </w:rPr>
        <w:t>Transgender</w:t>
      </w:r>
      <w:r w:rsidRPr="00642290">
        <w:rPr>
          <w:rFonts w:cstheme="minorHAnsi"/>
          <w:i/>
          <w:iCs/>
        </w:rPr>
        <w:t xml:space="preserve"> Health</w:t>
      </w:r>
      <w:r w:rsidRPr="00642290">
        <w:rPr>
          <w:rFonts w:cstheme="minorHAnsi"/>
        </w:rPr>
        <w:t xml:space="preserve">, </w:t>
      </w:r>
      <w:r w:rsidRPr="00642290">
        <w:rPr>
          <w:rFonts w:cstheme="minorHAnsi"/>
        </w:rPr>
        <w:t>vol</w:t>
      </w:r>
      <w:r w:rsidRPr="00642290">
        <w:rPr>
          <w:rFonts w:cstheme="minorHAnsi"/>
        </w:rPr>
        <w:t xml:space="preserve">. 23, no. </w:t>
      </w:r>
      <w:r w:rsidRPr="00642290">
        <w:rPr>
          <w:rFonts w:cstheme="minorHAnsi"/>
        </w:rPr>
        <w:t>Supplement</w:t>
      </w:r>
      <w:r w:rsidRPr="00642290">
        <w:rPr>
          <w:rFonts w:cstheme="minorHAnsi"/>
        </w:rPr>
        <w:t xml:space="preserve"> 1, 2022, p. 51</w:t>
      </w:r>
      <w:r w:rsidR="00F54B51">
        <w:rPr>
          <w:rFonts w:cstheme="minorHAnsi"/>
        </w:rPr>
        <w:t>8</w:t>
      </w:r>
      <w:r w:rsidRPr="00642290">
        <w:rPr>
          <w:rFonts w:cstheme="minorHAnsi"/>
        </w:rPr>
        <w:t>, doi:10.1080/26895269.2022.2100644).</w:t>
      </w:r>
    </w:p>
  </w:footnote>
  <w:footnote w:id="4">
    <w:p w:rsidR="00C55393" w:rsidRPr="00642290" w:rsidP="00C55393" w14:paraId="558DEA6B" w14:textId="77777777">
      <w:pPr>
        <w:pStyle w:val="FootnoteText"/>
        <w:spacing w:line="240" w:lineRule="auto"/>
        <w:rPr>
          <w:rFonts w:cstheme="minorHAnsi"/>
        </w:rPr>
      </w:pPr>
      <w:r w:rsidRPr="00642290">
        <w:rPr>
          <w:rStyle w:val="FootnoteReference"/>
          <w:rFonts w:cstheme="minorHAnsi"/>
          <w:lang w:val="en-GB"/>
        </w:rPr>
        <w:footnoteRef/>
      </w:r>
      <w:r w:rsidRPr="00642290">
        <w:rPr>
          <w:rFonts w:cstheme="minorHAnsi"/>
        </w:rPr>
        <w:t xml:space="preserve"> </w:t>
      </w:r>
      <w:r w:rsidRPr="00642290">
        <w:rPr>
          <w:rFonts w:cstheme="minorHAnsi"/>
          <w:lang w:val="en-GB"/>
        </w:rPr>
        <w:t xml:space="preserve">Cass, H. (2024). </w:t>
      </w:r>
      <w:r w:rsidRPr="00642290">
        <w:rPr>
          <w:rFonts w:cstheme="minorHAnsi"/>
          <w:i/>
          <w:iCs/>
          <w:lang w:val="en-GB"/>
        </w:rPr>
        <w:t>Independent review of gender identity services for children and young people: Final report</w:t>
      </w:r>
      <w:r w:rsidRPr="00642290">
        <w:rPr>
          <w:rFonts w:cstheme="minorHAnsi"/>
          <w:lang w:val="en-GB"/>
        </w:rPr>
        <w:t xml:space="preserve">. NHS England, p. 67-73. </w:t>
      </w:r>
      <w:r w:rsidRPr="00642290">
        <w:rPr>
          <w:rFonts w:cstheme="minorHAnsi"/>
          <w:lang w:val="en-GB"/>
        </w:rPr>
        <w:t>Pieejams</w:t>
      </w:r>
      <w:r w:rsidRPr="00642290">
        <w:rPr>
          <w:rFonts w:cstheme="minorHAnsi"/>
          <w:lang w:val="en-GB"/>
        </w:rPr>
        <w:t>: https://webarchive.nationalarchives.gov.uk/ukgwa/20250310143933/https://cass.independent-review.uk/home/publications/final-report/</w:t>
      </w:r>
      <w:r w:rsidRPr="00642290">
        <w:rPr>
          <w:rFonts w:cstheme="minorHAnsi"/>
        </w:rPr>
        <w:t xml:space="preserve">. </w:t>
      </w:r>
    </w:p>
  </w:footnote>
  <w:footnote w:id="5">
    <w:p w:rsidR="00C55393" w:rsidRPr="00543E20" w:rsidP="00C55393" w14:paraId="4066ED67" w14:textId="77777777">
      <w:pPr>
        <w:pStyle w:val="FootnoteText"/>
        <w:spacing w:line="240" w:lineRule="auto"/>
      </w:pPr>
      <w:r>
        <w:rPr>
          <w:rStyle w:val="FootnoteReference"/>
        </w:rPr>
        <w:footnoteRef/>
      </w:r>
      <w:r>
        <w:t xml:space="preserve"> Saskaņā ar BKUS</w:t>
      </w:r>
      <w:r w:rsidRPr="000301E6">
        <w:t xml:space="preserve"> </w:t>
      </w:r>
      <w:r>
        <w:t xml:space="preserve">sniegto informāciju </w:t>
      </w:r>
      <w:r w:rsidRPr="000301E6">
        <w:t xml:space="preserve">pēdējo 10 gadu laikā tikai trijos gadījumos pusaudžiem pēc BKUS </w:t>
      </w:r>
      <w:r w:rsidRPr="000301E6">
        <w:t>multiprofesionālā</w:t>
      </w:r>
      <w:r w:rsidRPr="000301E6">
        <w:t xml:space="preserve"> ārstu konsīlija rekomendācijas tika uzsākta pubertātes bloķēšana</w:t>
      </w:r>
      <w:r>
        <w:t xml:space="preserve">, un vienā gadījumā tika </w:t>
      </w:r>
      <w:r w:rsidRPr="000301E6">
        <w:t>uzsākta kross-hormonālā terapija. Bērniem Latvijā netiek rekomendētas vai īstenotas nekāda veida ar dzimumu maiņu saistītas ķirurģiskās procedūras vai operācijas. Tas nenotiek ne valsts, ne privātā sektora ārstniecības iestādēs</w:t>
      </w:r>
      <w:r>
        <w:t xml:space="preserve"> (</w:t>
      </w:r>
      <w:r w:rsidRPr="00642290">
        <w:rPr>
          <w:rFonts w:cstheme="minorHAnsi"/>
        </w:rPr>
        <w:t xml:space="preserve">BKUS 09.12.2025. viedoklis Nr. </w:t>
      </w:r>
      <w:r w:rsidRPr="00642290">
        <w:rPr>
          <w:rFonts w:cstheme="minorHAnsi"/>
          <w:noProof/>
        </w:rPr>
        <w:t>02-09-738/2025</w:t>
      </w:r>
      <w:r w:rsidRPr="00642290">
        <w:rPr>
          <w:rFonts w:cstheme="minorHAnsi"/>
        </w:rPr>
        <w:t xml:space="preserve"> par likumprojektu “Grozījumi Krimināllikumā” (Nr.1050/Lp14)</w:t>
      </w:r>
      <w:r>
        <w:rPr>
          <w:rFonts w:cstheme="minorHAnsi"/>
        </w:rPr>
        <w:t>)</w:t>
      </w:r>
      <w:r w:rsidRPr="00642290">
        <w:rPr>
          <w:rFonts w:cstheme="minorHAnsi"/>
        </w:rPr>
        <w:t>.</w:t>
      </w:r>
    </w:p>
  </w:footnote>
  <w:footnote w:id="6">
    <w:p w:rsidR="00C55393" w:rsidRPr="00642290" w:rsidP="00C55393" w14:paraId="47AE5CC9" w14:textId="77777777">
      <w:pPr>
        <w:pStyle w:val="FootnoteText"/>
        <w:spacing w:line="240" w:lineRule="auto"/>
        <w:rPr>
          <w:rFonts w:cstheme="minorHAnsi"/>
        </w:rPr>
      </w:pPr>
      <w:r w:rsidRPr="00642290">
        <w:rPr>
          <w:rStyle w:val="FootnoteReference"/>
          <w:rFonts w:cstheme="minorHAnsi"/>
        </w:rPr>
        <w:footnoteRef/>
      </w:r>
      <w:r w:rsidRPr="00642290">
        <w:rPr>
          <w:rFonts w:cstheme="minorHAnsi"/>
        </w:rPr>
        <w:t xml:space="preserve"> BKUS 09.12.2025. viedoklis Nr. </w:t>
      </w:r>
      <w:r w:rsidRPr="00642290">
        <w:rPr>
          <w:rFonts w:cstheme="minorHAnsi"/>
          <w:noProof/>
        </w:rPr>
        <w:t>02-09-738/2025</w:t>
      </w:r>
      <w:r w:rsidRPr="00642290">
        <w:rPr>
          <w:rFonts w:cstheme="minorHAnsi"/>
        </w:rPr>
        <w:t xml:space="preserve"> par likumprojektu “Grozījumi Krimināllikumā” (Nr.1050/Lp14).</w:t>
      </w:r>
    </w:p>
  </w:footnote>
  <w:footnote w:id="7">
    <w:p w:rsidR="00C55393" w:rsidRPr="00642290" w:rsidP="00C55393" w14:paraId="072A7918" w14:textId="62DF718D">
      <w:pPr>
        <w:pStyle w:val="FootnoteText"/>
        <w:spacing w:line="240" w:lineRule="auto"/>
        <w:rPr>
          <w:rFonts w:cstheme="minorHAnsi"/>
        </w:rPr>
      </w:pPr>
      <w:r w:rsidRPr="00642290">
        <w:rPr>
          <w:rStyle w:val="FootnoteReference"/>
          <w:rFonts w:cstheme="minorHAnsi"/>
        </w:rPr>
        <w:footnoteRef/>
      </w:r>
      <w:r w:rsidRPr="00642290">
        <w:rPr>
          <w:rFonts w:cstheme="minorHAnsi"/>
        </w:rPr>
        <w:t xml:space="preserve"> Pubertātes bloķētāji (</w:t>
      </w:r>
      <w:r w:rsidRPr="00642290">
        <w:rPr>
          <w:rFonts w:cstheme="minorHAnsi"/>
        </w:rPr>
        <w:t>GnRH</w:t>
      </w:r>
      <w:r w:rsidRPr="00642290">
        <w:rPr>
          <w:rFonts w:cstheme="minorHAnsi"/>
        </w:rPr>
        <w:t xml:space="preserve"> analogi) var radīt kaul</w:t>
      </w:r>
      <w:r>
        <w:rPr>
          <w:rFonts w:cstheme="minorHAnsi"/>
        </w:rPr>
        <w:t>u</w:t>
      </w:r>
      <w:r w:rsidRPr="00642290">
        <w:rPr>
          <w:rFonts w:cstheme="minorHAnsi"/>
        </w:rPr>
        <w:t xml:space="preserve"> sistēmas traucējumus (samazināts kaulu minerālais blīvums, paaugstināts osteoporozes un lūzumu risks vēlāk dzīvē); normālas pubertātes attīstības apturēšana, kas rezultējas dzimumorgānu nepietiekamā attīstībā un ietekmē seksuālo funkciju un jutību, auglības zudum</w:t>
      </w:r>
      <w:r w:rsidR="00F54B51">
        <w:rPr>
          <w:rFonts w:cstheme="minorHAnsi"/>
        </w:rPr>
        <w:t>u</w:t>
      </w:r>
      <w:r w:rsidRPr="00642290">
        <w:rPr>
          <w:rFonts w:cstheme="minorHAnsi"/>
        </w:rPr>
        <w:t xml:space="preserve">. Kross-hormonālā terapijas (estrogēna vai </w:t>
      </w:r>
      <w:r w:rsidRPr="00642290">
        <w:rPr>
          <w:rFonts w:cstheme="minorHAnsi"/>
        </w:rPr>
        <w:t>testosterona</w:t>
      </w:r>
      <w:r w:rsidRPr="00642290">
        <w:rPr>
          <w:rFonts w:cstheme="minorHAnsi"/>
        </w:rPr>
        <w:t xml:space="preserve"> mākslīga ievadīšana) ietekmē sirds un asinsvadu sistēmu (paaugstināts trombožu risks, Ilgtermiņa sirds-asinsvadu slimību risks), rada daļēju vai pilnīgu neauglības risku, atrofiskas izmaiņas dzimumorgānos, endokrīnās sistēmas traucējumus u.c. (Avots: NHS </w:t>
      </w:r>
      <w:r w:rsidRPr="00642290">
        <w:rPr>
          <w:rFonts w:cstheme="minorHAnsi"/>
        </w:rPr>
        <w:t>Gender</w:t>
      </w:r>
      <w:r w:rsidRPr="00642290">
        <w:rPr>
          <w:rFonts w:cstheme="minorHAnsi"/>
        </w:rPr>
        <w:t xml:space="preserve"> </w:t>
      </w:r>
      <w:r w:rsidRPr="00642290">
        <w:rPr>
          <w:rFonts w:cstheme="minorHAnsi"/>
        </w:rPr>
        <w:t>dysphoria</w:t>
      </w:r>
      <w:r w:rsidRPr="00642290">
        <w:rPr>
          <w:rFonts w:cstheme="minorHAnsi"/>
        </w:rPr>
        <w:t xml:space="preserve"> </w:t>
      </w:r>
      <w:r w:rsidRPr="00642290">
        <w:rPr>
          <w:rFonts w:cstheme="minorHAnsi"/>
        </w:rPr>
        <w:t>treatment</w:t>
      </w:r>
      <w:r w:rsidRPr="00642290">
        <w:rPr>
          <w:rFonts w:cstheme="minorHAnsi"/>
        </w:rPr>
        <w:t xml:space="preserve"> https://www.nhs.uk/conditions/gender-dysphoria/treatment/; </w:t>
      </w:r>
      <w:r w:rsidRPr="00642290">
        <w:rPr>
          <w:rFonts w:cstheme="minorHAnsi"/>
        </w:rPr>
        <w:t>Cass</w:t>
      </w:r>
      <w:r w:rsidRPr="00642290">
        <w:rPr>
          <w:rFonts w:cstheme="minorHAnsi"/>
        </w:rPr>
        <w:t xml:space="preserve">, H. (2024). </w:t>
      </w:r>
      <w:r w:rsidRPr="00642290">
        <w:rPr>
          <w:rFonts w:cstheme="minorHAnsi"/>
          <w:i/>
          <w:iCs/>
          <w:lang w:val="en-GB"/>
        </w:rPr>
        <w:t>Independent review of gender identity services for children and young people: Final report</w:t>
      </w:r>
      <w:r w:rsidRPr="00642290">
        <w:rPr>
          <w:rFonts w:cstheme="minorHAnsi"/>
          <w:lang w:val="en-GB"/>
        </w:rPr>
        <w:t>. NHS England</w:t>
      </w:r>
      <w:r w:rsidRPr="00642290">
        <w:rPr>
          <w:rFonts w:cstheme="minorHAnsi"/>
        </w:rPr>
        <w:t>).</w:t>
      </w:r>
    </w:p>
  </w:footnote>
  <w:footnote w:id="8">
    <w:p w:rsidR="00C55393" w:rsidRPr="00642290" w:rsidP="00C55393" w14:paraId="03743AAE" w14:textId="6666B07C">
      <w:pPr>
        <w:pStyle w:val="FootnoteText"/>
        <w:spacing w:line="240" w:lineRule="auto"/>
        <w:rPr>
          <w:rFonts w:cstheme="minorHAnsi"/>
        </w:rPr>
      </w:pPr>
      <w:r w:rsidRPr="00642290">
        <w:rPr>
          <w:rStyle w:val="FootnoteReference"/>
          <w:rFonts w:cstheme="minorHAnsi"/>
        </w:rPr>
        <w:footnoteRef/>
      </w:r>
      <w:r w:rsidRPr="00642290">
        <w:rPr>
          <w:rFonts w:cstheme="minorHAnsi"/>
        </w:rPr>
        <w:t xml:space="preserve"> Lielbritānijā </w:t>
      </w:r>
      <w:r w:rsidRPr="00642290">
        <w:rPr>
          <w:rFonts w:cstheme="minorHAnsi"/>
          <w:iCs/>
        </w:rPr>
        <w:t>pubertātes bloķēšanas terapija bērniem, kuriem ir dzimumidentitātes traucējumi, netiek nodrošināta (jo nav pietiekamu pierādījumu par to klīnisko drošību un efektivitāti), savukārt kross-hormonālā terapija tiek nozīmēta atsevišķos klīniskos gadījumos bērniem no 16 gadu vecuma. Zviedrijā valsts vadlīnijās bērnu un pusaudžu ar dzimumidentitātes traucējumu ārstēšanā norādīts, ka pubertātes bloķētāju un dzimumu apstiprinošas ārstēšanas riski, visticamāk, pārsniedz no šīm ārstēšanas metodēm sagaidāmos ieguvumus (</w:t>
      </w:r>
      <w:r w:rsidRPr="00F54B51">
        <w:rPr>
          <w:rFonts w:cstheme="minorHAnsi"/>
          <w:iCs/>
        </w:rPr>
        <w:t>Care</w:t>
      </w:r>
      <w:r w:rsidRPr="00F54B51">
        <w:rPr>
          <w:rFonts w:cstheme="minorHAnsi"/>
          <w:iCs/>
        </w:rPr>
        <w:t xml:space="preserve"> </w:t>
      </w:r>
      <w:r w:rsidRPr="00F54B51">
        <w:rPr>
          <w:rFonts w:cstheme="minorHAnsi"/>
          <w:iCs/>
        </w:rPr>
        <w:t>of</w:t>
      </w:r>
      <w:r w:rsidRPr="00F54B51">
        <w:rPr>
          <w:rFonts w:cstheme="minorHAnsi"/>
          <w:iCs/>
        </w:rPr>
        <w:t xml:space="preserve"> </w:t>
      </w:r>
      <w:r w:rsidRPr="00F54B51">
        <w:rPr>
          <w:rFonts w:cstheme="minorHAnsi"/>
          <w:iCs/>
        </w:rPr>
        <w:t>children</w:t>
      </w:r>
      <w:r w:rsidRPr="00F54B51">
        <w:rPr>
          <w:rFonts w:cstheme="minorHAnsi"/>
          <w:iCs/>
        </w:rPr>
        <w:t xml:space="preserve"> </w:t>
      </w:r>
      <w:r w:rsidRPr="00F54B51">
        <w:rPr>
          <w:rFonts w:cstheme="minorHAnsi"/>
          <w:iCs/>
        </w:rPr>
        <w:t>and</w:t>
      </w:r>
      <w:r w:rsidRPr="00F54B51">
        <w:rPr>
          <w:rFonts w:cstheme="minorHAnsi"/>
          <w:iCs/>
        </w:rPr>
        <w:t xml:space="preserve"> </w:t>
      </w:r>
      <w:r w:rsidRPr="00F54B51">
        <w:rPr>
          <w:rFonts w:cstheme="minorHAnsi"/>
          <w:iCs/>
        </w:rPr>
        <w:t>adolescents</w:t>
      </w:r>
      <w:r w:rsidRPr="00F54B51">
        <w:rPr>
          <w:rFonts w:cstheme="minorHAnsi"/>
          <w:iCs/>
        </w:rPr>
        <w:t xml:space="preserve"> </w:t>
      </w:r>
      <w:r w:rsidRPr="00F54B51">
        <w:rPr>
          <w:rFonts w:cstheme="minorHAnsi"/>
          <w:iCs/>
        </w:rPr>
        <w:t>with</w:t>
      </w:r>
      <w:r w:rsidRPr="00F54B51">
        <w:rPr>
          <w:rFonts w:cstheme="minorHAnsi"/>
          <w:iCs/>
        </w:rPr>
        <w:t xml:space="preserve"> </w:t>
      </w:r>
      <w:r w:rsidRPr="00F54B51">
        <w:rPr>
          <w:rFonts w:cstheme="minorHAnsi"/>
          <w:iCs/>
        </w:rPr>
        <w:t>gender</w:t>
      </w:r>
      <w:r w:rsidRPr="00F54B51">
        <w:rPr>
          <w:rFonts w:cstheme="minorHAnsi"/>
          <w:iCs/>
        </w:rPr>
        <w:t xml:space="preserve"> </w:t>
      </w:r>
      <w:r w:rsidRPr="00F54B51">
        <w:rPr>
          <w:rFonts w:cstheme="minorHAnsi"/>
          <w:iCs/>
        </w:rPr>
        <w:t>dysphoria</w:t>
      </w:r>
      <w:r w:rsidRPr="00F54B51">
        <w:rPr>
          <w:rFonts w:cstheme="minorHAnsi"/>
          <w:iCs/>
        </w:rPr>
        <w:t xml:space="preserve"> – </w:t>
      </w:r>
      <w:r w:rsidRPr="00F54B51">
        <w:rPr>
          <w:rFonts w:cstheme="minorHAnsi"/>
          <w:iCs/>
        </w:rPr>
        <w:t>Summary</w:t>
      </w:r>
      <w:r w:rsidRPr="00F54B51">
        <w:rPr>
          <w:rFonts w:cstheme="minorHAnsi"/>
          <w:iCs/>
        </w:rPr>
        <w:t xml:space="preserve"> </w:t>
      </w:r>
      <w:r w:rsidRPr="00F54B51">
        <w:rPr>
          <w:rFonts w:cstheme="minorHAnsi"/>
          <w:iCs/>
        </w:rPr>
        <w:t>of</w:t>
      </w:r>
      <w:r w:rsidRPr="00F54B51">
        <w:rPr>
          <w:rFonts w:cstheme="minorHAnsi"/>
          <w:iCs/>
        </w:rPr>
        <w:t xml:space="preserve"> </w:t>
      </w:r>
      <w:r w:rsidRPr="00F54B51">
        <w:rPr>
          <w:rFonts w:cstheme="minorHAnsi"/>
          <w:iCs/>
        </w:rPr>
        <w:t>national</w:t>
      </w:r>
      <w:r w:rsidRPr="00F54B51">
        <w:rPr>
          <w:rFonts w:cstheme="minorHAnsi"/>
          <w:iCs/>
        </w:rPr>
        <w:t xml:space="preserve"> NHIB </w:t>
      </w:r>
      <w:r w:rsidRPr="00F54B51" w:rsidR="00F54B51">
        <w:rPr>
          <w:rFonts w:cstheme="minorHAnsi"/>
          <w:iCs/>
        </w:rPr>
        <w:t>guidelines</w:t>
      </w:r>
      <w:r w:rsidRPr="00F54B51">
        <w:rPr>
          <w:rFonts w:cstheme="minorHAnsi"/>
          <w:iCs/>
        </w:rPr>
        <w:t xml:space="preserve"> (2022, </w:t>
      </w:r>
      <w:r w:rsidRPr="00F54B51">
        <w:rPr>
          <w:rFonts w:cstheme="minorHAnsi"/>
          <w:iCs/>
        </w:rPr>
        <w:t>December</w:t>
      </w:r>
      <w:r w:rsidRPr="00F54B51">
        <w:rPr>
          <w:rFonts w:cstheme="minorHAnsi"/>
          <w:iCs/>
        </w:rPr>
        <w:t xml:space="preserve">). </w:t>
      </w:r>
      <w:r w:rsidRPr="008E3445">
        <w:rPr>
          <w:rFonts w:cstheme="minorHAnsi"/>
          <w:iCs/>
        </w:rPr>
        <w:t>Article number: 2023-1-8330. Publicēts 2023. gada 11. janvārī.). Norvēģijas Veselības aprūpes izmeklēšanas pado</w:t>
      </w:r>
      <w:r w:rsidRPr="00642290">
        <w:rPr>
          <w:rFonts w:cstheme="minorHAnsi"/>
          <w:iCs/>
        </w:rPr>
        <w:t>mes</w:t>
      </w:r>
      <w:r w:rsidRPr="00642290">
        <w:rPr>
          <w:rFonts w:cstheme="minorHAnsi"/>
          <w:iCs/>
        </w:rPr>
        <w:t xml:space="preserve"> (NHIB) ziņojumā “Pacientu drošība bērniem un jauniešiem ar dzimumidentitātes neatbilstību” iesaka pubertātes bloķējošus līdzekļus, hormonālo ārstēšanu un ķirurģisku dzimumu apstiprinošu medicīnisko ārstēšanu bērniem un jauniešiem definēt kā eksperimentālu ārstēšanu (</w:t>
      </w:r>
      <w:r w:rsidRPr="00642290">
        <w:rPr>
          <w:rFonts w:cstheme="minorHAnsi"/>
          <w:iCs/>
        </w:rPr>
        <w:t>Undersøkelseskommisjonen</w:t>
      </w:r>
      <w:r w:rsidRPr="00642290">
        <w:rPr>
          <w:rFonts w:cstheme="minorHAnsi"/>
          <w:iCs/>
        </w:rPr>
        <w:t xml:space="preserve"> </w:t>
      </w:r>
      <w:r w:rsidRPr="00642290">
        <w:rPr>
          <w:rFonts w:cstheme="minorHAnsi"/>
          <w:iCs/>
        </w:rPr>
        <w:t>for</w:t>
      </w:r>
      <w:r w:rsidRPr="00642290">
        <w:rPr>
          <w:rFonts w:cstheme="minorHAnsi"/>
          <w:iCs/>
        </w:rPr>
        <w:t xml:space="preserve"> </w:t>
      </w:r>
      <w:r w:rsidRPr="00642290">
        <w:rPr>
          <w:rFonts w:cstheme="minorHAnsi"/>
          <w:iCs/>
        </w:rPr>
        <w:t>helse</w:t>
      </w:r>
      <w:r w:rsidRPr="00642290">
        <w:rPr>
          <w:rFonts w:cstheme="minorHAnsi"/>
          <w:iCs/>
        </w:rPr>
        <w:t xml:space="preserve">- </w:t>
      </w:r>
      <w:r w:rsidRPr="00642290">
        <w:rPr>
          <w:rFonts w:cstheme="minorHAnsi"/>
          <w:iCs/>
        </w:rPr>
        <w:t>og</w:t>
      </w:r>
      <w:r w:rsidRPr="00642290">
        <w:rPr>
          <w:rFonts w:cstheme="minorHAnsi"/>
          <w:iCs/>
        </w:rPr>
        <w:t xml:space="preserve"> </w:t>
      </w:r>
      <w:r w:rsidRPr="00642290">
        <w:rPr>
          <w:rFonts w:cstheme="minorHAnsi"/>
          <w:iCs/>
        </w:rPr>
        <w:t>omsorgstjenesten</w:t>
      </w:r>
      <w:r w:rsidRPr="00642290">
        <w:rPr>
          <w:rFonts w:cstheme="minorHAnsi"/>
          <w:iCs/>
        </w:rPr>
        <w:t xml:space="preserve"> (UKOM). (2023). </w:t>
      </w:r>
      <w:r w:rsidRPr="00642290">
        <w:rPr>
          <w:rFonts w:cstheme="minorHAnsi"/>
          <w:iCs/>
        </w:rPr>
        <w:t>Pasientsikkerhet</w:t>
      </w:r>
      <w:r w:rsidRPr="00642290">
        <w:rPr>
          <w:rFonts w:cstheme="minorHAnsi"/>
          <w:iCs/>
        </w:rPr>
        <w:t xml:space="preserve"> </w:t>
      </w:r>
      <w:r w:rsidRPr="00642290">
        <w:rPr>
          <w:rFonts w:cstheme="minorHAnsi"/>
          <w:iCs/>
        </w:rPr>
        <w:t>for</w:t>
      </w:r>
      <w:r w:rsidRPr="00642290">
        <w:rPr>
          <w:rFonts w:cstheme="minorHAnsi"/>
          <w:iCs/>
        </w:rPr>
        <w:t xml:space="preserve"> </w:t>
      </w:r>
      <w:r w:rsidRPr="00642290">
        <w:rPr>
          <w:rFonts w:cstheme="minorHAnsi"/>
          <w:iCs/>
        </w:rPr>
        <w:t>barn</w:t>
      </w:r>
      <w:r w:rsidRPr="00642290">
        <w:rPr>
          <w:rFonts w:cstheme="minorHAnsi"/>
          <w:iCs/>
        </w:rPr>
        <w:t xml:space="preserve"> </w:t>
      </w:r>
      <w:r w:rsidRPr="00642290">
        <w:rPr>
          <w:rFonts w:cstheme="minorHAnsi"/>
          <w:iCs/>
        </w:rPr>
        <w:t>og</w:t>
      </w:r>
      <w:r w:rsidRPr="00642290">
        <w:rPr>
          <w:rFonts w:cstheme="minorHAnsi"/>
          <w:iCs/>
        </w:rPr>
        <w:t xml:space="preserve"> </w:t>
      </w:r>
      <w:r w:rsidRPr="00642290">
        <w:rPr>
          <w:rFonts w:cstheme="minorHAnsi"/>
          <w:iCs/>
        </w:rPr>
        <w:t>unge</w:t>
      </w:r>
      <w:r w:rsidRPr="00642290">
        <w:rPr>
          <w:rFonts w:cstheme="minorHAnsi"/>
          <w:iCs/>
        </w:rPr>
        <w:t xml:space="preserve"> </w:t>
      </w:r>
      <w:r w:rsidRPr="00642290">
        <w:rPr>
          <w:rFonts w:cstheme="minorHAnsi"/>
          <w:iCs/>
        </w:rPr>
        <w:t>med</w:t>
      </w:r>
      <w:r w:rsidRPr="00642290">
        <w:rPr>
          <w:rFonts w:cstheme="minorHAnsi"/>
          <w:iCs/>
        </w:rPr>
        <w:t xml:space="preserve"> </w:t>
      </w:r>
      <w:r w:rsidRPr="00642290">
        <w:rPr>
          <w:rFonts w:cstheme="minorHAnsi"/>
          <w:iCs/>
        </w:rPr>
        <w:t>kjønnsinkongruens</w:t>
      </w:r>
      <w:r w:rsidRPr="00642290">
        <w:rPr>
          <w:rFonts w:cstheme="minorHAnsi"/>
          <w:iCs/>
        </w:rPr>
        <w:t>, p. 46).</w:t>
      </w:r>
    </w:p>
  </w:footnote>
  <w:footnote w:id="9">
    <w:p w:rsidR="00C55393" w:rsidRPr="00642290" w:rsidP="00C55393" w14:paraId="1CFBD817" w14:textId="0620EC99">
      <w:pPr>
        <w:rPr>
          <w:rFonts w:asciiTheme="minorHAnsi" w:hAnsiTheme="minorHAnsi" w:cstheme="minorHAnsi"/>
          <w:sz w:val="20"/>
          <w:szCs w:val="20"/>
        </w:rPr>
      </w:pPr>
      <w:r w:rsidRPr="00642290">
        <w:rPr>
          <w:rStyle w:val="FootnoteReference"/>
          <w:rFonts w:asciiTheme="minorHAnsi" w:hAnsiTheme="minorHAnsi" w:cstheme="minorHAnsi"/>
          <w:sz w:val="20"/>
          <w:szCs w:val="20"/>
        </w:rPr>
        <w:footnoteRef/>
      </w:r>
      <w:r w:rsidRPr="00642290">
        <w:rPr>
          <w:rFonts w:asciiTheme="minorHAnsi" w:hAnsiTheme="minorHAnsi" w:cstheme="minorHAnsi"/>
          <w:sz w:val="20"/>
          <w:szCs w:val="20"/>
        </w:rPr>
        <w:t xml:space="preserve"> Skat. Pasaules profesionālās asociācijas </w:t>
      </w:r>
      <w:r w:rsidRPr="00642290">
        <w:rPr>
          <w:rFonts w:asciiTheme="minorHAnsi" w:hAnsiTheme="minorHAnsi" w:cstheme="minorHAnsi"/>
          <w:sz w:val="20"/>
          <w:szCs w:val="20"/>
        </w:rPr>
        <w:t>transpersonu</w:t>
      </w:r>
      <w:r w:rsidRPr="00642290">
        <w:rPr>
          <w:rFonts w:asciiTheme="minorHAnsi" w:hAnsiTheme="minorHAnsi" w:cstheme="minorHAnsi"/>
          <w:sz w:val="20"/>
          <w:szCs w:val="20"/>
        </w:rPr>
        <w:t xml:space="preserve"> veselības aprūpei (WPATH) Aprūpes standartu ietverto ieteikumu bērniem izmantot gan </w:t>
      </w:r>
      <w:r w:rsidRPr="00642290" w:rsidR="00F54B51">
        <w:rPr>
          <w:rFonts w:asciiTheme="minorHAnsi" w:hAnsiTheme="minorHAnsi" w:cstheme="minorHAnsi"/>
          <w:sz w:val="20"/>
          <w:szCs w:val="20"/>
        </w:rPr>
        <w:t>pubertātes</w:t>
      </w:r>
      <w:r w:rsidRPr="00642290">
        <w:rPr>
          <w:rFonts w:asciiTheme="minorHAnsi" w:hAnsiTheme="minorHAnsi" w:cstheme="minorHAnsi"/>
          <w:sz w:val="20"/>
          <w:szCs w:val="20"/>
        </w:rPr>
        <w:t xml:space="preserve"> bloķējošus medikamentus (5113.lpp.) gan kross-hormonālo terapiju, gan arī </w:t>
      </w:r>
      <w:r w:rsidR="00F54B51">
        <w:rPr>
          <w:rFonts w:asciiTheme="minorHAnsi" w:hAnsiTheme="minorHAnsi" w:cstheme="minorHAnsi"/>
          <w:sz w:val="20"/>
          <w:szCs w:val="20"/>
        </w:rPr>
        <w:t xml:space="preserve">pieļauj </w:t>
      </w:r>
      <w:r w:rsidRPr="00642290" w:rsidR="00F54B51">
        <w:rPr>
          <w:rFonts w:asciiTheme="minorHAnsi" w:hAnsiTheme="minorHAnsi" w:cstheme="minorHAnsi"/>
          <w:sz w:val="20"/>
          <w:szCs w:val="20"/>
        </w:rPr>
        <w:t>ķirurģiskas</w:t>
      </w:r>
      <w:r w:rsidRPr="00642290">
        <w:rPr>
          <w:rFonts w:asciiTheme="minorHAnsi" w:hAnsiTheme="minorHAnsi" w:cstheme="minorHAnsi"/>
          <w:sz w:val="20"/>
          <w:szCs w:val="20"/>
        </w:rPr>
        <w:t xml:space="preserve"> manipulācijas pusaudžiem (5257. lpp.) (Avots: </w:t>
      </w:r>
      <w:r w:rsidRPr="00642290">
        <w:rPr>
          <w:rFonts w:asciiTheme="minorHAnsi" w:hAnsiTheme="minorHAnsi" w:cstheme="minorHAnsi"/>
          <w:sz w:val="20"/>
          <w:szCs w:val="20"/>
        </w:rPr>
        <w:t>Coleman</w:t>
      </w:r>
      <w:r w:rsidRPr="00642290">
        <w:rPr>
          <w:rFonts w:asciiTheme="minorHAnsi" w:hAnsiTheme="minorHAnsi" w:cstheme="minorHAnsi"/>
          <w:sz w:val="20"/>
          <w:szCs w:val="20"/>
        </w:rPr>
        <w:t xml:space="preserve">, E., </w:t>
      </w:r>
      <w:r w:rsidRPr="00642290">
        <w:rPr>
          <w:rFonts w:asciiTheme="minorHAnsi" w:hAnsiTheme="minorHAnsi" w:cstheme="minorHAnsi"/>
          <w:sz w:val="20"/>
          <w:szCs w:val="20"/>
        </w:rPr>
        <w:t>et</w:t>
      </w:r>
      <w:r w:rsidRPr="00642290">
        <w:rPr>
          <w:rFonts w:asciiTheme="minorHAnsi" w:hAnsiTheme="minorHAnsi" w:cstheme="minorHAnsi"/>
          <w:sz w:val="20"/>
          <w:szCs w:val="20"/>
        </w:rPr>
        <w:t xml:space="preserve"> </w:t>
      </w:r>
      <w:r w:rsidRPr="00642290">
        <w:rPr>
          <w:rFonts w:asciiTheme="minorHAnsi" w:hAnsiTheme="minorHAnsi" w:cstheme="minorHAnsi"/>
          <w:sz w:val="20"/>
          <w:szCs w:val="20"/>
        </w:rPr>
        <w:t>al</w:t>
      </w:r>
      <w:r w:rsidRPr="00642290">
        <w:rPr>
          <w:rFonts w:asciiTheme="minorHAnsi" w:hAnsiTheme="minorHAnsi" w:cstheme="minorHAnsi"/>
          <w:sz w:val="20"/>
          <w:szCs w:val="20"/>
        </w:rPr>
        <w:t>. “</w:t>
      </w:r>
      <w:r w:rsidRPr="00642290">
        <w:rPr>
          <w:rFonts w:asciiTheme="minorHAnsi" w:hAnsiTheme="minorHAnsi" w:cstheme="minorHAnsi"/>
          <w:sz w:val="20"/>
          <w:szCs w:val="20"/>
        </w:rPr>
        <w:t>Standards</w:t>
      </w:r>
      <w:r w:rsidRPr="00642290">
        <w:rPr>
          <w:rFonts w:asciiTheme="minorHAnsi" w:hAnsiTheme="minorHAnsi" w:cstheme="minorHAnsi"/>
          <w:sz w:val="20"/>
          <w:szCs w:val="20"/>
        </w:rPr>
        <w:t xml:space="preserve"> </w:t>
      </w:r>
      <w:r w:rsidRPr="00642290">
        <w:rPr>
          <w:rFonts w:asciiTheme="minorHAnsi" w:hAnsiTheme="minorHAnsi" w:cstheme="minorHAnsi"/>
          <w:sz w:val="20"/>
          <w:szCs w:val="20"/>
        </w:rPr>
        <w:t>of</w:t>
      </w:r>
      <w:r w:rsidRPr="00642290">
        <w:rPr>
          <w:rFonts w:asciiTheme="minorHAnsi" w:hAnsiTheme="minorHAnsi" w:cstheme="minorHAnsi"/>
          <w:sz w:val="20"/>
          <w:szCs w:val="20"/>
        </w:rPr>
        <w:t xml:space="preserve"> </w:t>
      </w:r>
      <w:r w:rsidRPr="00642290">
        <w:rPr>
          <w:rFonts w:asciiTheme="minorHAnsi" w:hAnsiTheme="minorHAnsi" w:cstheme="minorHAnsi"/>
          <w:sz w:val="20"/>
          <w:szCs w:val="20"/>
        </w:rPr>
        <w:t>Care</w:t>
      </w:r>
      <w:r w:rsidRPr="00642290">
        <w:rPr>
          <w:rFonts w:asciiTheme="minorHAnsi" w:hAnsiTheme="minorHAnsi" w:cstheme="minorHAnsi"/>
          <w:sz w:val="20"/>
          <w:szCs w:val="20"/>
        </w:rPr>
        <w:t xml:space="preserve"> </w:t>
      </w:r>
      <w:r w:rsidRPr="00642290">
        <w:rPr>
          <w:rFonts w:asciiTheme="minorHAnsi" w:hAnsiTheme="minorHAnsi" w:cstheme="minorHAnsi"/>
          <w:sz w:val="20"/>
          <w:szCs w:val="20"/>
        </w:rPr>
        <w:t>for</w:t>
      </w:r>
      <w:r w:rsidRPr="00642290">
        <w:rPr>
          <w:rFonts w:asciiTheme="minorHAnsi" w:hAnsiTheme="minorHAnsi" w:cstheme="minorHAnsi"/>
          <w:sz w:val="20"/>
          <w:szCs w:val="20"/>
        </w:rPr>
        <w:t xml:space="preserve"> </w:t>
      </w:r>
      <w:r w:rsidRPr="00642290">
        <w:rPr>
          <w:rFonts w:asciiTheme="minorHAnsi" w:hAnsiTheme="minorHAnsi" w:cstheme="minorHAnsi"/>
          <w:sz w:val="20"/>
          <w:szCs w:val="20"/>
        </w:rPr>
        <w:t>the</w:t>
      </w:r>
      <w:r w:rsidRPr="00642290">
        <w:rPr>
          <w:rFonts w:asciiTheme="minorHAnsi" w:hAnsiTheme="minorHAnsi" w:cstheme="minorHAnsi"/>
          <w:sz w:val="20"/>
          <w:szCs w:val="20"/>
        </w:rPr>
        <w:t xml:space="preserve"> Health </w:t>
      </w:r>
      <w:r w:rsidRPr="00642290">
        <w:rPr>
          <w:rFonts w:asciiTheme="minorHAnsi" w:hAnsiTheme="minorHAnsi" w:cstheme="minorHAnsi"/>
          <w:sz w:val="20"/>
          <w:szCs w:val="20"/>
        </w:rPr>
        <w:t>of</w:t>
      </w:r>
      <w:r w:rsidRPr="00642290">
        <w:rPr>
          <w:rFonts w:asciiTheme="minorHAnsi" w:hAnsiTheme="minorHAnsi" w:cstheme="minorHAnsi"/>
          <w:sz w:val="20"/>
          <w:szCs w:val="20"/>
        </w:rPr>
        <w:t xml:space="preserve"> </w:t>
      </w:r>
      <w:r w:rsidRPr="00642290">
        <w:rPr>
          <w:rFonts w:asciiTheme="minorHAnsi" w:hAnsiTheme="minorHAnsi" w:cstheme="minorHAnsi"/>
          <w:sz w:val="20"/>
          <w:szCs w:val="20"/>
        </w:rPr>
        <w:t>Transgender</w:t>
      </w:r>
      <w:r w:rsidRPr="00642290">
        <w:rPr>
          <w:rFonts w:asciiTheme="minorHAnsi" w:hAnsiTheme="minorHAnsi" w:cstheme="minorHAnsi"/>
          <w:sz w:val="20"/>
          <w:szCs w:val="20"/>
        </w:rPr>
        <w:t xml:space="preserve"> </w:t>
      </w:r>
      <w:r w:rsidRPr="00642290">
        <w:rPr>
          <w:rFonts w:asciiTheme="minorHAnsi" w:hAnsiTheme="minorHAnsi" w:cstheme="minorHAnsi"/>
          <w:sz w:val="20"/>
          <w:szCs w:val="20"/>
        </w:rPr>
        <w:t>and</w:t>
      </w:r>
      <w:r w:rsidRPr="00642290">
        <w:rPr>
          <w:rFonts w:asciiTheme="minorHAnsi" w:hAnsiTheme="minorHAnsi" w:cstheme="minorHAnsi"/>
          <w:sz w:val="20"/>
          <w:szCs w:val="20"/>
        </w:rPr>
        <w:t xml:space="preserve"> </w:t>
      </w:r>
      <w:r w:rsidRPr="00642290">
        <w:rPr>
          <w:rFonts w:asciiTheme="minorHAnsi" w:hAnsiTheme="minorHAnsi" w:cstheme="minorHAnsi"/>
          <w:sz w:val="20"/>
          <w:szCs w:val="20"/>
        </w:rPr>
        <w:t>Gender</w:t>
      </w:r>
      <w:r w:rsidRPr="00642290">
        <w:rPr>
          <w:rFonts w:asciiTheme="minorHAnsi" w:hAnsiTheme="minorHAnsi" w:cstheme="minorHAnsi"/>
          <w:sz w:val="20"/>
          <w:szCs w:val="20"/>
        </w:rPr>
        <w:t xml:space="preserve"> </w:t>
      </w:r>
      <w:r w:rsidRPr="00642290">
        <w:rPr>
          <w:rFonts w:asciiTheme="minorHAnsi" w:hAnsiTheme="minorHAnsi" w:cstheme="minorHAnsi"/>
          <w:sz w:val="20"/>
          <w:szCs w:val="20"/>
        </w:rPr>
        <w:t>Diverse</w:t>
      </w:r>
      <w:r w:rsidRPr="00642290">
        <w:rPr>
          <w:rFonts w:asciiTheme="minorHAnsi" w:hAnsiTheme="minorHAnsi" w:cstheme="minorHAnsi"/>
          <w:sz w:val="20"/>
          <w:szCs w:val="20"/>
        </w:rPr>
        <w:t xml:space="preserve"> </w:t>
      </w:r>
      <w:r w:rsidRPr="00642290">
        <w:rPr>
          <w:rFonts w:asciiTheme="minorHAnsi" w:hAnsiTheme="minorHAnsi" w:cstheme="minorHAnsi"/>
          <w:sz w:val="20"/>
          <w:szCs w:val="20"/>
        </w:rPr>
        <w:t>People</w:t>
      </w:r>
      <w:r w:rsidRPr="00642290">
        <w:rPr>
          <w:rFonts w:asciiTheme="minorHAnsi" w:hAnsiTheme="minorHAnsi" w:cstheme="minorHAnsi"/>
          <w:sz w:val="20"/>
          <w:szCs w:val="20"/>
        </w:rPr>
        <w:t xml:space="preserve">, </w:t>
      </w:r>
      <w:r w:rsidRPr="00642290">
        <w:rPr>
          <w:rFonts w:asciiTheme="minorHAnsi" w:hAnsiTheme="minorHAnsi" w:cstheme="minorHAnsi"/>
          <w:sz w:val="20"/>
          <w:szCs w:val="20"/>
        </w:rPr>
        <w:t>Version</w:t>
      </w:r>
      <w:r w:rsidRPr="00642290">
        <w:rPr>
          <w:rFonts w:asciiTheme="minorHAnsi" w:hAnsiTheme="minorHAnsi" w:cstheme="minorHAnsi"/>
          <w:sz w:val="20"/>
          <w:szCs w:val="20"/>
        </w:rPr>
        <w:t xml:space="preserve"> 8.” </w:t>
      </w:r>
      <w:r w:rsidRPr="00642290">
        <w:rPr>
          <w:rFonts w:asciiTheme="minorHAnsi" w:hAnsiTheme="minorHAnsi" w:cstheme="minorHAnsi"/>
          <w:i/>
          <w:iCs/>
          <w:sz w:val="20"/>
          <w:szCs w:val="20"/>
        </w:rPr>
        <w:t>International</w:t>
      </w:r>
      <w:r w:rsidRPr="00642290">
        <w:rPr>
          <w:rFonts w:asciiTheme="minorHAnsi" w:hAnsiTheme="minorHAnsi" w:cstheme="minorHAnsi"/>
          <w:i/>
          <w:iCs/>
          <w:sz w:val="20"/>
          <w:szCs w:val="20"/>
        </w:rPr>
        <w:t xml:space="preserve"> </w:t>
      </w:r>
      <w:r w:rsidRPr="00642290">
        <w:rPr>
          <w:rFonts w:asciiTheme="minorHAnsi" w:hAnsiTheme="minorHAnsi" w:cstheme="minorHAnsi"/>
          <w:i/>
          <w:iCs/>
          <w:sz w:val="20"/>
          <w:szCs w:val="20"/>
        </w:rPr>
        <w:t>Journal</w:t>
      </w:r>
      <w:r w:rsidRPr="00642290">
        <w:rPr>
          <w:rFonts w:asciiTheme="minorHAnsi" w:hAnsiTheme="minorHAnsi" w:cstheme="minorHAnsi"/>
          <w:i/>
          <w:iCs/>
          <w:sz w:val="20"/>
          <w:szCs w:val="20"/>
        </w:rPr>
        <w:t xml:space="preserve"> </w:t>
      </w:r>
      <w:r w:rsidRPr="00642290">
        <w:rPr>
          <w:rFonts w:asciiTheme="minorHAnsi" w:hAnsiTheme="minorHAnsi" w:cstheme="minorHAnsi"/>
          <w:i/>
          <w:iCs/>
          <w:sz w:val="20"/>
          <w:szCs w:val="20"/>
        </w:rPr>
        <w:t>of</w:t>
      </w:r>
      <w:r w:rsidRPr="00642290">
        <w:rPr>
          <w:rFonts w:asciiTheme="minorHAnsi" w:hAnsiTheme="minorHAnsi" w:cstheme="minorHAnsi"/>
          <w:i/>
          <w:iCs/>
          <w:sz w:val="20"/>
          <w:szCs w:val="20"/>
        </w:rPr>
        <w:t xml:space="preserve"> </w:t>
      </w:r>
      <w:r w:rsidRPr="00642290">
        <w:rPr>
          <w:rFonts w:asciiTheme="minorHAnsi" w:hAnsiTheme="minorHAnsi" w:cstheme="minorHAnsi"/>
          <w:i/>
          <w:iCs/>
          <w:sz w:val="20"/>
          <w:szCs w:val="20"/>
        </w:rPr>
        <w:t>Transgender</w:t>
      </w:r>
      <w:r w:rsidRPr="00642290">
        <w:rPr>
          <w:rFonts w:asciiTheme="minorHAnsi" w:hAnsiTheme="minorHAnsi" w:cstheme="minorHAnsi"/>
          <w:i/>
          <w:iCs/>
          <w:sz w:val="20"/>
          <w:szCs w:val="20"/>
        </w:rPr>
        <w:t xml:space="preserve"> Health</w:t>
      </w:r>
      <w:r w:rsidRPr="00642290">
        <w:rPr>
          <w:rFonts w:asciiTheme="minorHAnsi" w:hAnsiTheme="minorHAnsi" w:cstheme="minorHAnsi"/>
          <w:sz w:val="20"/>
          <w:szCs w:val="20"/>
        </w:rPr>
        <w:t xml:space="preserve">, </w:t>
      </w:r>
      <w:r w:rsidRPr="00642290">
        <w:rPr>
          <w:rFonts w:asciiTheme="minorHAnsi" w:hAnsiTheme="minorHAnsi" w:cstheme="minorHAnsi"/>
          <w:sz w:val="20"/>
          <w:szCs w:val="20"/>
        </w:rPr>
        <w:t>vol</w:t>
      </w:r>
      <w:r w:rsidRPr="00642290">
        <w:rPr>
          <w:rFonts w:asciiTheme="minorHAnsi" w:hAnsiTheme="minorHAnsi" w:cstheme="minorHAnsi"/>
          <w:sz w:val="20"/>
          <w:szCs w:val="20"/>
        </w:rPr>
        <w:t xml:space="preserve">. 23, no. </w:t>
      </w:r>
      <w:r w:rsidRPr="00642290">
        <w:rPr>
          <w:rFonts w:asciiTheme="minorHAnsi" w:hAnsiTheme="minorHAnsi" w:cstheme="minorHAnsi"/>
          <w:sz w:val="20"/>
          <w:szCs w:val="20"/>
        </w:rPr>
        <w:t>Supplement</w:t>
      </w:r>
      <w:r w:rsidRPr="00642290">
        <w:rPr>
          <w:rFonts w:asciiTheme="minorHAnsi" w:hAnsiTheme="minorHAnsi" w:cstheme="minorHAnsi"/>
          <w:sz w:val="20"/>
          <w:szCs w:val="20"/>
        </w:rPr>
        <w:t xml:space="preserve"> 1, 2022, </w:t>
      </w:r>
      <w:r w:rsidRPr="00642290">
        <w:rPr>
          <w:rFonts w:asciiTheme="minorHAnsi" w:hAnsiTheme="minorHAnsi" w:cstheme="minorHAnsi"/>
          <w:sz w:val="20"/>
          <w:szCs w:val="20"/>
        </w:rPr>
        <w:t>pp</w:t>
      </w:r>
      <w:r w:rsidRPr="00642290">
        <w:rPr>
          <w:rFonts w:asciiTheme="minorHAnsi" w:hAnsiTheme="minorHAnsi" w:cstheme="minorHAnsi"/>
          <w:sz w:val="20"/>
          <w:szCs w:val="20"/>
        </w:rPr>
        <w:t xml:space="preserve">. S1–258, doi:10.1080/26895269.2022.2100644). </w:t>
      </w:r>
    </w:p>
  </w:footnote>
  <w:footnote w:id="10">
    <w:p w:rsidR="00C55393" w:rsidRPr="00642290" w:rsidP="00C55393" w14:paraId="049DAAA6" w14:textId="77777777">
      <w:pPr>
        <w:pStyle w:val="FootnoteText"/>
        <w:spacing w:line="240" w:lineRule="auto"/>
        <w:rPr>
          <w:rFonts w:cstheme="minorHAnsi"/>
        </w:rPr>
      </w:pPr>
      <w:r w:rsidRPr="00642290">
        <w:rPr>
          <w:rStyle w:val="FootnoteReference"/>
          <w:rFonts w:cstheme="minorHAnsi"/>
        </w:rPr>
        <w:footnoteRef/>
      </w:r>
      <w:r w:rsidRPr="00642290">
        <w:rPr>
          <w:rFonts w:cstheme="minorHAnsi"/>
        </w:rPr>
        <w:t xml:space="preserve"> Pacientu tiesību likuma 13. panta otrā daļa. </w:t>
      </w:r>
    </w:p>
  </w:footnote>
  <w:footnote w:id="11">
    <w:p w:rsidR="00C55393" w:rsidRPr="00642290" w:rsidP="00C55393" w14:paraId="2FA84FF0" w14:textId="77777777">
      <w:pPr>
        <w:rPr>
          <w:rFonts w:asciiTheme="minorHAnsi" w:hAnsiTheme="minorHAnsi" w:cstheme="minorHAnsi"/>
          <w:sz w:val="20"/>
          <w:szCs w:val="20"/>
        </w:rPr>
      </w:pPr>
      <w:r w:rsidRPr="00642290">
        <w:rPr>
          <w:rStyle w:val="FootnoteReference"/>
          <w:rFonts w:asciiTheme="minorHAnsi" w:hAnsiTheme="minorHAnsi" w:cstheme="minorHAnsi"/>
          <w:sz w:val="20"/>
          <w:szCs w:val="20"/>
        </w:rPr>
        <w:footnoteRef/>
      </w:r>
      <w:r w:rsidRPr="00642290">
        <w:rPr>
          <w:rFonts w:asciiTheme="minorHAnsi" w:hAnsiTheme="minorHAnsi" w:cstheme="minorHAnsi"/>
          <w:sz w:val="20"/>
          <w:szCs w:val="20"/>
        </w:rPr>
        <w:t xml:space="preserve"> </w:t>
      </w:r>
      <w:r w:rsidRPr="00642290">
        <w:rPr>
          <w:rFonts w:asciiTheme="minorHAnsi" w:hAnsiTheme="minorHAnsi" w:cstheme="minorHAnsi"/>
          <w:sz w:val="20"/>
          <w:szCs w:val="20"/>
        </w:rPr>
        <w:t>Cass</w:t>
      </w:r>
      <w:r w:rsidRPr="00642290">
        <w:rPr>
          <w:rFonts w:asciiTheme="minorHAnsi" w:hAnsiTheme="minorHAnsi" w:cstheme="minorHAnsi"/>
          <w:sz w:val="20"/>
          <w:szCs w:val="20"/>
        </w:rPr>
        <w:t xml:space="preserve">, H. (2024). </w:t>
      </w:r>
      <w:r w:rsidRPr="00642290">
        <w:rPr>
          <w:rFonts w:asciiTheme="minorHAnsi" w:hAnsiTheme="minorHAnsi" w:cstheme="minorHAnsi"/>
          <w:i/>
          <w:iCs/>
          <w:sz w:val="20"/>
          <w:szCs w:val="20"/>
          <w:lang w:val="en-GB"/>
        </w:rPr>
        <w:t>Independent review of gender identity services for children and young people: Final report</w:t>
      </w:r>
      <w:r w:rsidRPr="00642290">
        <w:rPr>
          <w:rFonts w:asciiTheme="minorHAnsi" w:hAnsiTheme="minorHAnsi" w:cstheme="minorHAnsi"/>
          <w:sz w:val="20"/>
          <w:szCs w:val="20"/>
          <w:lang w:val="en-GB"/>
        </w:rPr>
        <w:t>. NHS England</w:t>
      </w:r>
      <w:r w:rsidRPr="00642290">
        <w:rPr>
          <w:rFonts w:asciiTheme="minorHAnsi" w:hAnsiTheme="minorHAnsi" w:cstheme="minorHAnsi"/>
          <w:sz w:val="20"/>
          <w:szCs w:val="20"/>
        </w:rPr>
        <w:t xml:space="preserve">, p. 196. </w:t>
      </w:r>
    </w:p>
  </w:footnote>
  <w:footnote w:id="12">
    <w:p w:rsidR="00C55393" w:rsidRPr="00642290" w:rsidP="00C55393" w14:paraId="670F756A" w14:textId="77777777">
      <w:pPr>
        <w:pStyle w:val="Header"/>
        <w:tabs>
          <w:tab w:val="clear" w:pos="4153"/>
        </w:tabs>
        <w:jc w:val="both"/>
        <w:rPr>
          <w:rFonts w:asciiTheme="minorHAnsi" w:hAnsiTheme="minorHAnsi" w:cstheme="minorHAnsi"/>
          <w:sz w:val="20"/>
          <w:lang w:val="lv-LV"/>
        </w:rPr>
      </w:pPr>
      <w:r w:rsidRPr="00642290">
        <w:rPr>
          <w:rStyle w:val="FootnoteReference"/>
          <w:rFonts w:asciiTheme="minorHAnsi" w:hAnsiTheme="minorHAnsi" w:cstheme="minorHAnsi"/>
          <w:sz w:val="20"/>
        </w:rPr>
        <w:footnoteRef/>
      </w:r>
      <w:r w:rsidRPr="00642290">
        <w:rPr>
          <w:rFonts w:asciiTheme="minorHAnsi" w:hAnsiTheme="minorHAnsi" w:cstheme="minorHAnsi"/>
          <w:sz w:val="20"/>
          <w:lang w:val="lv-LV"/>
        </w:rPr>
        <w:t xml:space="preserve"> ANO Bērnu tiesību komitejas Vispārējais komentārs Nr. 15 (2013) par bērna tiesībām uz visaugstvērtīgāko pieejamo veselības standartu, 116. punkts. </w:t>
      </w:r>
    </w:p>
  </w:footnote>
  <w:footnote w:id="13">
    <w:p w:rsidR="00C55393" w:rsidRPr="00642290" w:rsidP="00C55393" w14:paraId="57184B6F" w14:textId="33C76FE7">
      <w:pPr>
        <w:pStyle w:val="FootnoteText"/>
        <w:spacing w:line="240" w:lineRule="auto"/>
        <w:rPr>
          <w:rFonts w:cstheme="minorHAnsi"/>
        </w:rPr>
      </w:pPr>
      <w:r w:rsidRPr="00642290">
        <w:rPr>
          <w:rStyle w:val="FootnoteReference"/>
          <w:rFonts w:cstheme="minorHAnsi"/>
        </w:rPr>
        <w:footnoteRef/>
      </w:r>
      <w:r w:rsidRPr="00642290">
        <w:rPr>
          <w:rFonts w:cstheme="minorHAnsi"/>
        </w:rPr>
        <w:t xml:space="preserve"> Lielbritānijā sekundārie tiesību akti ierobežo pubertātes blokatoru izrakstīšanu, pārdošanu vai piegādi pubertātes nomākšanas nolūkos bērniem un jauniešiem līdz 18 gadu vecumam, kuriem ir dzimumidentitātes traucējumi. </w:t>
      </w:r>
      <w:r w:rsidR="00F54B51">
        <w:rPr>
          <w:rFonts w:cstheme="minorHAnsi"/>
        </w:rPr>
        <w:t>I</w:t>
      </w:r>
      <w:r w:rsidRPr="00642290">
        <w:rPr>
          <w:rFonts w:cstheme="minorHAnsi"/>
        </w:rPr>
        <w:t>erobežojuma tiesiskumu apstrīdēja tiesā, kura noraidīja prasības pamatotību un norādīja, ka</w:t>
      </w:r>
      <w:r>
        <w:rPr>
          <w:rFonts w:cstheme="minorHAnsi"/>
        </w:rPr>
        <w:t>,</w:t>
      </w:r>
      <w:r w:rsidRPr="00642290">
        <w:rPr>
          <w:rFonts w:cstheme="minorHAnsi"/>
        </w:rPr>
        <w:t xml:space="preserve"> ņemot vērā zinātniski identificētos ļoti būtiskos riskus un ļoti ierobežotos ieguvumus, kas saistīti ar pubertātes blokatoru lietošanu, pubertātes blokatoru izmantošanas ierobežojums ir pamatots (avots: </w:t>
      </w:r>
      <w:r w:rsidRPr="00642290">
        <w:rPr>
          <w:rFonts w:cstheme="minorHAnsi"/>
          <w:i/>
          <w:iCs/>
        </w:rPr>
        <w:t>TransActual</w:t>
      </w:r>
      <w:r w:rsidRPr="00642290">
        <w:rPr>
          <w:rFonts w:cstheme="minorHAnsi"/>
          <w:i/>
          <w:iCs/>
        </w:rPr>
        <w:t xml:space="preserve"> CIC </w:t>
      </w:r>
      <w:r w:rsidRPr="00642290">
        <w:rPr>
          <w:rFonts w:cstheme="minorHAnsi"/>
          <w:i/>
          <w:iCs/>
        </w:rPr>
        <w:t>and</w:t>
      </w:r>
      <w:r w:rsidRPr="00642290">
        <w:rPr>
          <w:rFonts w:cstheme="minorHAnsi"/>
          <w:i/>
          <w:iCs/>
        </w:rPr>
        <w:t xml:space="preserve"> </w:t>
      </w:r>
      <w:r w:rsidRPr="00642290">
        <w:rPr>
          <w:rFonts w:cstheme="minorHAnsi"/>
          <w:i/>
          <w:iCs/>
        </w:rPr>
        <w:t>another</w:t>
      </w:r>
      <w:r w:rsidRPr="00642290">
        <w:rPr>
          <w:rFonts w:cstheme="minorHAnsi"/>
          <w:i/>
          <w:iCs/>
        </w:rPr>
        <w:t xml:space="preserve"> v. </w:t>
      </w:r>
      <w:r w:rsidRPr="00642290">
        <w:rPr>
          <w:rFonts w:cstheme="minorHAnsi"/>
          <w:i/>
          <w:iCs/>
        </w:rPr>
        <w:t>the</w:t>
      </w:r>
      <w:r w:rsidRPr="00642290">
        <w:rPr>
          <w:rFonts w:cstheme="minorHAnsi"/>
          <w:i/>
          <w:iCs/>
        </w:rPr>
        <w:t xml:space="preserve"> </w:t>
      </w:r>
      <w:r w:rsidRPr="00642290">
        <w:rPr>
          <w:rFonts w:cstheme="minorHAnsi"/>
          <w:i/>
          <w:iCs/>
        </w:rPr>
        <w:t>Secretary</w:t>
      </w:r>
      <w:r w:rsidRPr="00642290">
        <w:rPr>
          <w:rFonts w:cstheme="minorHAnsi"/>
          <w:i/>
          <w:iCs/>
        </w:rPr>
        <w:t xml:space="preserve"> </w:t>
      </w:r>
      <w:r w:rsidRPr="00642290">
        <w:rPr>
          <w:rFonts w:cstheme="minorHAnsi"/>
          <w:i/>
          <w:iCs/>
        </w:rPr>
        <w:t>of</w:t>
      </w:r>
      <w:r w:rsidRPr="00642290">
        <w:rPr>
          <w:rFonts w:cstheme="minorHAnsi"/>
          <w:i/>
          <w:iCs/>
        </w:rPr>
        <w:t xml:space="preserve"> </w:t>
      </w:r>
      <w:r w:rsidRPr="00642290">
        <w:rPr>
          <w:rFonts w:cstheme="minorHAnsi"/>
          <w:i/>
          <w:iCs/>
        </w:rPr>
        <w:t>State</w:t>
      </w:r>
      <w:r w:rsidRPr="00642290">
        <w:rPr>
          <w:rFonts w:cstheme="minorHAnsi"/>
          <w:i/>
          <w:iCs/>
        </w:rPr>
        <w:t xml:space="preserve"> </w:t>
      </w:r>
      <w:r w:rsidRPr="00642290">
        <w:rPr>
          <w:rFonts w:cstheme="minorHAnsi"/>
          <w:i/>
          <w:iCs/>
        </w:rPr>
        <w:t>for</w:t>
      </w:r>
      <w:r w:rsidRPr="00642290">
        <w:rPr>
          <w:rFonts w:cstheme="minorHAnsi"/>
          <w:i/>
          <w:iCs/>
        </w:rPr>
        <w:t xml:space="preserve"> Health </w:t>
      </w:r>
      <w:r w:rsidRPr="00642290">
        <w:rPr>
          <w:rFonts w:cstheme="minorHAnsi"/>
          <w:i/>
          <w:iCs/>
        </w:rPr>
        <w:t>and</w:t>
      </w:r>
      <w:r w:rsidRPr="00642290">
        <w:rPr>
          <w:rFonts w:cstheme="minorHAnsi"/>
          <w:i/>
          <w:iCs/>
        </w:rPr>
        <w:t xml:space="preserve"> </w:t>
      </w:r>
      <w:r w:rsidRPr="00642290">
        <w:rPr>
          <w:rFonts w:cstheme="minorHAnsi"/>
          <w:i/>
          <w:iCs/>
        </w:rPr>
        <w:t>Social</w:t>
      </w:r>
      <w:r w:rsidRPr="00642290">
        <w:rPr>
          <w:rFonts w:cstheme="minorHAnsi"/>
          <w:i/>
          <w:iCs/>
        </w:rPr>
        <w:t xml:space="preserve"> </w:t>
      </w:r>
      <w:r w:rsidRPr="00642290">
        <w:rPr>
          <w:rFonts w:cstheme="minorHAnsi"/>
          <w:i/>
          <w:iCs/>
        </w:rPr>
        <w:t>Care</w:t>
      </w:r>
      <w:r w:rsidRPr="00642290">
        <w:rPr>
          <w:rFonts w:cstheme="minorHAnsi"/>
          <w:i/>
          <w:iCs/>
        </w:rPr>
        <w:t xml:space="preserve"> </w:t>
      </w:r>
      <w:r w:rsidRPr="00642290">
        <w:rPr>
          <w:rFonts w:cstheme="minorHAnsi"/>
          <w:i/>
          <w:iCs/>
        </w:rPr>
        <w:t>and</w:t>
      </w:r>
      <w:r w:rsidRPr="00642290">
        <w:rPr>
          <w:rFonts w:cstheme="minorHAnsi"/>
          <w:i/>
          <w:iCs/>
        </w:rPr>
        <w:t xml:space="preserve"> </w:t>
      </w:r>
      <w:r w:rsidRPr="00642290">
        <w:rPr>
          <w:rFonts w:cstheme="minorHAnsi"/>
          <w:i/>
          <w:iCs/>
        </w:rPr>
        <w:t>another</w:t>
      </w:r>
      <w:r w:rsidRPr="00642290">
        <w:rPr>
          <w:rFonts w:cstheme="minorHAnsi"/>
          <w:i/>
          <w:iCs/>
        </w:rPr>
        <w:t> </w:t>
      </w:r>
      <w:r w:rsidRPr="00642290">
        <w:rPr>
          <w:rFonts w:cstheme="minorHAnsi"/>
        </w:rPr>
        <w:t>[2024] EWHC 1937 (</w:t>
      </w:r>
      <w:r w:rsidRPr="00642290">
        <w:rPr>
          <w:rFonts w:cstheme="minorHAnsi"/>
        </w:rPr>
        <w:t>Admin</w:t>
      </w:r>
      <w:r w:rsidRPr="00642290">
        <w:rPr>
          <w:rFonts w:cstheme="minorHAnsi"/>
        </w:rPr>
        <w:t>); ASV vairāki štati ir ierobežojusi medic</w:t>
      </w:r>
      <w:r>
        <w:rPr>
          <w:rFonts w:cstheme="minorHAnsi"/>
        </w:rPr>
        <w:t>ī</w:t>
      </w:r>
      <w:r w:rsidRPr="00642290">
        <w:rPr>
          <w:rFonts w:cstheme="minorHAnsi"/>
        </w:rPr>
        <w:t>nisk</w:t>
      </w:r>
      <w:r>
        <w:rPr>
          <w:rFonts w:cstheme="minorHAnsi"/>
        </w:rPr>
        <w:t>u</w:t>
      </w:r>
      <w:r w:rsidRPr="00642290">
        <w:rPr>
          <w:rFonts w:cstheme="minorHAnsi"/>
        </w:rPr>
        <w:t xml:space="preserve"> dzimuma maiņu bērniem; ASV prezidents 2025.</w:t>
      </w:r>
      <w:r>
        <w:rPr>
          <w:rFonts w:cstheme="minorHAnsi"/>
        </w:rPr>
        <w:t xml:space="preserve"> </w:t>
      </w:r>
      <w:r w:rsidRPr="00642290">
        <w:rPr>
          <w:rFonts w:cstheme="minorHAnsi"/>
        </w:rPr>
        <w:t xml:space="preserve">gada janvārī parakstīja </w:t>
      </w:r>
      <w:r w:rsidRPr="00642290">
        <w:rPr>
          <w:rFonts w:cstheme="minorHAnsi"/>
        </w:rPr>
        <w:t>izpildrīkojumu</w:t>
      </w:r>
      <w:r w:rsidRPr="00642290">
        <w:rPr>
          <w:rFonts w:cstheme="minorHAnsi"/>
        </w:rPr>
        <w:t xml:space="preserve">, kas ierobežo </w:t>
      </w:r>
      <w:r w:rsidRPr="00642290">
        <w:rPr>
          <w:rFonts w:cstheme="minorHAnsi"/>
        </w:rPr>
        <w:t>transpersonu</w:t>
      </w:r>
      <w:r w:rsidRPr="00642290">
        <w:rPr>
          <w:rFonts w:cstheme="minorHAnsi"/>
        </w:rPr>
        <w:t xml:space="preserve"> aprūpes pieejamību personām, kas jaunākas par 19 gadiem federāli finansētās ārstniecības iestādēs; šobrīd ASV l</w:t>
      </w:r>
      <w:r>
        <w:rPr>
          <w:rFonts w:cstheme="minorHAnsi"/>
        </w:rPr>
        <w:t>i</w:t>
      </w:r>
      <w:r w:rsidRPr="00642290">
        <w:rPr>
          <w:rFonts w:cstheme="minorHAnsi"/>
        </w:rPr>
        <w:t xml:space="preserve">kumprojekts, kas paredz </w:t>
      </w:r>
      <w:r w:rsidRPr="00642290">
        <w:rPr>
          <w:rFonts w:cstheme="minorHAnsi"/>
        </w:rPr>
        <w:t>kriminalizēt</w:t>
      </w:r>
      <w:r w:rsidRPr="00642290">
        <w:rPr>
          <w:rFonts w:cstheme="minorHAnsi"/>
        </w:rPr>
        <w:t xml:space="preserve"> bērna dzimuma maiņu (</w:t>
      </w:r>
      <w:r w:rsidRPr="00642290">
        <w:rPr>
          <w:rFonts w:cstheme="minorHAnsi"/>
        </w:rPr>
        <w:t>Protect</w:t>
      </w:r>
      <w:r w:rsidRPr="00642290">
        <w:rPr>
          <w:rFonts w:cstheme="minorHAnsi"/>
        </w:rPr>
        <w:t xml:space="preserve"> </w:t>
      </w:r>
      <w:r w:rsidRPr="00642290">
        <w:rPr>
          <w:rFonts w:cstheme="minorHAnsi"/>
        </w:rPr>
        <w:t>Children’s</w:t>
      </w:r>
      <w:r w:rsidRPr="00642290">
        <w:rPr>
          <w:rFonts w:cstheme="minorHAnsi"/>
        </w:rPr>
        <w:t xml:space="preserve"> </w:t>
      </w:r>
      <w:r w:rsidRPr="00642290">
        <w:rPr>
          <w:rFonts w:cstheme="minorHAnsi"/>
        </w:rPr>
        <w:t>Innocence</w:t>
      </w:r>
      <w:r w:rsidRPr="00642290">
        <w:rPr>
          <w:rFonts w:cstheme="minorHAnsi"/>
        </w:rPr>
        <w:t xml:space="preserve"> </w:t>
      </w:r>
      <w:r w:rsidRPr="00642290">
        <w:rPr>
          <w:rFonts w:cstheme="minorHAnsi"/>
        </w:rPr>
        <w:t>Act</w:t>
      </w:r>
      <w:r w:rsidRPr="00642290">
        <w:rPr>
          <w:rFonts w:cstheme="minorHAnsi"/>
        </w:rPr>
        <w:t xml:space="preserve"> </w:t>
      </w:r>
      <w:r w:rsidRPr="00642290">
        <w:rPr>
          <w:rFonts w:cstheme="minorHAnsi"/>
        </w:rPr>
        <w:t>of</w:t>
      </w:r>
      <w:r w:rsidRPr="00642290">
        <w:rPr>
          <w:rFonts w:cstheme="minorHAnsi"/>
        </w:rPr>
        <w:t xml:space="preserve"> 2025) ir pieņemts ASV Pārstāvju palātā, tas vēl jāapstiprina ASV Senātam un pēc tam jāparaksta prezidentam.</w:t>
      </w:r>
    </w:p>
  </w:footnote>
  <w:footnote w:id="14">
    <w:p w:rsidR="00C55393" w:rsidRPr="00642290" w:rsidP="00C55393" w14:paraId="5A12B8B0" w14:textId="77777777">
      <w:pPr>
        <w:pStyle w:val="FootnoteText"/>
        <w:spacing w:line="240" w:lineRule="auto"/>
        <w:rPr>
          <w:rFonts w:cstheme="minorHAnsi"/>
        </w:rPr>
      </w:pPr>
      <w:r w:rsidRPr="00642290">
        <w:rPr>
          <w:rStyle w:val="FootnoteReference"/>
          <w:rFonts w:cstheme="minorHAnsi"/>
        </w:rPr>
        <w:footnoteRef/>
      </w:r>
      <w:r w:rsidRPr="00642290">
        <w:rPr>
          <w:rFonts w:cstheme="minorHAnsi"/>
        </w:rPr>
        <w:t xml:space="preserve"> Krastiņš U., </w:t>
      </w:r>
      <w:r w:rsidRPr="00642290">
        <w:rPr>
          <w:rFonts w:cstheme="minorHAnsi"/>
        </w:rPr>
        <w:t>Liholaja</w:t>
      </w:r>
      <w:r w:rsidRPr="00642290">
        <w:rPr>
          <w:rFonts w:cstheme="minorHAnsi"/>
        </w:rPr>
        <w:t xml:space="preserve"> V. Krimināllikuma komentāri. Otrā daļa (IX-XVII nodaļa). Trešais papildinātais izdevums. Rīga: Tiesu namu aģentūra, 2022,381-384. lpp.</w:t>
      </w:r>
      <w:r w:rsidRPr="00642290">
        <w:rPr>
          <w:rFonts w:cstheme="minorHAnsi"/>
          <w:i/>
          <w:iCs/>
        </w:rPr>
        <w:t xml:space="preserve"> </w:t>
      </w:r>
    </w:p>
  </w:footnote>
  <w:footnote w:id="15">
    <w:p w:rsidR="00C55393" w:rsidRPr="00642290" w:rsidP="00C55393" w14:paraId="1B443033" w14:textId="77777777">
      <w:pPr>
        <w:rPr>
          <w:rFonts w:asciiTheme="minorHAnsi" w:hAnsiTheme="minorHAnsi" w:cstheme="minorHAnsi"/>
          <w:sz w:val="20"/>
          <w:szCs w:val="20"/>
        </w:rPr>
      </w:pPr>
      <w:r w:rsidRPr="00642290">
        <w:rPr>
          <w:rFonts w:asciiTheme="minorHAnsi" w:hAnsiTheme="minorHAnsi" w:cstheme="minorHAnsi"/>
          <w:sz w:val="20"/>
          <w:szCs w:val="20"/>
          <w:vertAlign w:val="superscript"/>
        </w:rPr>
        <w:footnoteRef/>
      </w:r>
      <w:r w:rsidRPr="00642290">
        <w:rPr>
          <w:rFonts w:asciiTheme="minorHAnsi" w:hAnsiTheme="minorHAnsi" w:cstheme="minorHAnsi"/>
          <w:sz w:val="20"/>
          <w:szCs w:val="20"/>
        </w:rPr>
        <w:t xml:space="preserve"> Administratīvā rajona tiesa Rīgas tiesu nams, 07.06.2012, Lietas Nr. A420652310.</w:t>
      </w:r>
    </w:p>
  </w:footnote>
  <w:footnote w:id="16">
    <w:p w:rsidR="00C55393" w:rsidRPr="00642290" w:rsidP="00C55393" w14:paraId="21F9DC76" w14:textId="77777777">
      <w:pPr>
        <w:pStyle w:val="FootnoteText"/>
        <w:spacing w:line="240" w:lineRule="auto"/>
        <w:rPr>
          <w:rFonts w:cstheme="minorHAnsi"/>
        </w:rPr>
      </w:pPr>
      <w:r w:rsidRPr="00642290">
        <w:rPr>
          <w:rStyle w:val="FootnoteReference"/>
          <w:rFonts w:cstheme="minorHAnsi"/>
        </w:rPr>
        <w:footnoteRef/>
      </w:r>
      <w:r w:rsidRPr="00642290">
        <w:rPr>
          <w:rFonts w:cstheme="minorHAnsi"/>
        </w:rPr>
        <w:t xml:space="preserve"> Saskaņā ar Ārstniecības likuma 84. pantu.</w:t>
      </w:r>
      <w:r w:rsidRPr="00642290">
        <w:rPr>
          <w:rFonts w:cstheme="minorHAnsi"/>
          <w:b/>
          <w:bCs/>
        </w:rPr>
        <w:t xml:space="preserve"> </w:t>
      </w:r>
    </w:p>
  </w:footnote>
  <w:footnote w:id="17">
    <w:p w:rsidR="00C55393" w:rsidRPr="00642290" w:rsidP="00C55393" w14:paraId="098B5CBC" w14:textId="3AC37C1B">
      <w:pPr>
        <w:pStyle w:val="FootnoteText"/>
        <w:spacing w:line="240" w:lineRule="auto"/>
        <w:rPr>
          <w:rFonts w:cstheme="minorHAnsi"/>
        </w:rPr>
      </w:pPr>
      <w:r w:rsidRPr="00642290">
        <w:rPr>
          <w:rStyle w:val="FootnoteReference"/>
          <w:rFonts w:cstheme="minorHAnsi"/>
        </w:rPr>
        <w:footnoteRef/>
      </w:r>
      <w:r w:rsidRPr="00642290">
        <w:rPr>
          <w:rFonts w:cstheme="minorHAnsi"/>
        </w:rPr>
        <w:t xml:space="preserve"> Saskaņā ar Krimināllikuma 138. pantu, ja būs radīti smagi vai vidēja smaguma miesas bojājumi, vai pacienta nāve. Saskaņā ar likumu ”Par Krimināllikuma spēkā stāšanās un piemērošanas kārtību” 3. pielikuma 16. punkta 3.</w:t>
      </w:r>
      <w:r w:rsidR="009D22D4">
        <w:rPr>
          <w:rFonts w:cstheme="minorHAnsi"/>
        </w:rPr>
        <w:t> </w:t>
      </w:r>
      <w:r w:rsidRPr="00642290">
        <w:rPr>
          <w:rFonts w:cstheme="minorHAnsi"/>
        </w:rPr>
        <w:t xml:space="preserve">apakšpunktu personai izraisīta neauglība ir smags miesas bojājums.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41F" w:rsidP="00804644" w14:paraId="2C48EB0E"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A741F" w14:paraId="046E38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945" w:rsidRPr="00427DF4" w14:paraId="66DD24AD" w14:textId="77777777">
    <w:pPr>
      <w:pStyle w:val="Header"/>
      <w:jc w:val="center"/>
      <w:rPr>
        <w:rFonts w:asciiTheme="minorHAnsi" w:hAnsiTheme="minorHAnsi" w:cstheme="minorHAnsi"/>
        <w:szCs w:val="22"/>
      </w:rPr>
    </w:pPr>
    <w:r w:rsidRPr="00427DF4">
      <w:rPr>
        <w:rFonts w:asciiTheme="minorHAnsi" w:hAnsiTheme="minorHAnsi" w:cstheme="minorHAnsi"/>
        <w:szCs w:val="22"/>
      </w:rPr>
      <w:fldChar w:fldCharType="begin"/>
    </w:r>
    <w:r w:rsidRPr="00427DF4">
      <w:rPr>
        <w:rFonts w:asciiTheme="minorHAnsi" w:hAnsiTheme="minorHAnsi" w:cstheme="minorHAnsi"/>
        <w:szCs w:val="22"/>
      </w:rPr>
      <w:instrText xml:space="preserve"> PAGE   \* MERGEFORMAT </w:instrText>
    </w:r>
    <w:r w:rsidRPr="00427DF4">
      <w:rPr>
        <w:rFonts w:asciiTheme="minorHAnsi" w:hAnsiTheme="minorHAnsi" w:cstheme="minorHAnsi"/>
        <w:szCs w:val="22"/>
      </w:rPr>
      <w:fldChar w:fldCharType="separate"/>
    </w:r>
    <w:r w:rsidRPr="00427DF4" w:rsidR="00441D61">
      <w:rPr>
        <w:rFonts w:asciiTheme="minorHAnsi" w:hAnsiTheme="minorHAnsi" w:cstheme="minorHAnsi"/>
        <w:noProof/>
        <w:szCs w:val="22"/>
      </w:rPr>
      <w:t>6</w:t>
    </w:r>
    <w:r w:rsidRPr="00427DF4">
      <w:rPr>
        <w:rFonts w:asciiTheme="minorHAnsi" w:hAnsiTheme="minorHAnsi" w:cstheme="minorHAnsi"/>
        <w:noProof/>
        <w:szCs w:val="22"/>
      </w:rPr>
      <w:fldChar w:fldCharType="end"/>
    </w:r>
  </w:p>
  <w:p w:rsidR="007A741F" w14:paraId="4CD4E7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27620B0B"/>
    <w:multiLevelType w:val="hybridMultilevel"/>
    <w:tmpl w:val="6144D1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4F0B20F3"/>
    <w:multiLevelType w:val="hybridMultilevel"/>
    <w:tmpl w:val="8BBE8A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15:restartNumberingAfterBreak="0">
    <w:nsid w:val="5EE70E83"/>
    <w:multiLevelType w:val="hybridMultilevel"/>
    <w:tmpl w:val="AEAEC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798D75C4"/>
    <w:multiLevelType w:val="hybridMultilevel"/>
    <w:tmpl w:val="87206D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7B4445C8"/>
    <w:multiLevelType w:val="hybridMultilevel"/>
    <w:tmpl w:val="0D745AE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1967297">
    <w:abstractNumId w:val="3"/>
  </w:num>
  <w:num w:numId="2" w16cid:durableId="1772698461">
    <w:abstractNumId w:val="4"/>
  </w:num>
  <w:num w:numId="3" w16cid:durableId="389692907">
    <w:abstractNumId w:val="2"/>
  </w:num>
  <w:num w:numId="4" w16cid:durableId="613947121">
    <w:abstractNumId w:val="0"/>
  </w:num>
  <w:num w:numId="5" w16cid:durableId="141624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44"/>
    <w:rsid w:val="000130DC"/>
    <w:rsid w:val="000301E6"/>
    <w:rsid w:val="00061ECD"/>
    <w:rsid w:val="00070696"/>
    <w:rsid w:val="000706AE"/>
    <w:rsid w:val="000908CF"/>
    <w:rsid w:val="000964C8"/>
    <w:rsid w:val="000A2C74"/>
    <w:rsid w:val="000A39C9"/>
    <w:rsid w:val="000C4BD1"/>
    <w:rsid w:val="000E53D3"/>
    <w:rsid w:val="001023F6"/>
    <w:rsid w:val="00107F86"/>
    <w:rsid w:val="00116701"/>
    <w:rsid w:val="00145C3C"/>
    <w:rsid w:val="00173CB6"/>
    <w:rsid w:val="00183FA6"/>
    <w:rsid w:val="00186763"/>
    <w:rsid w:val="001A3604"/>
    <w:rsid w:val="001A7C10"/>
    <w:rsid w:val="001E2923"/>
    <w:rsid w:val="00200A23"/>
    <w:rsid w:val="00207BBF"/>
    <w:rsid w:val="00217D46"/>
    <w:rsid w:val="00224E88"/>
    <w:rsid w:val="0022777D"/>
    <w:rsid w:val="00250D4D"/>
    <w:rsid w:val="00262259"/>
    <w:rsid w:val="00282E30"/>
    <w:rsid w:val="00282E5F"/>
    <w:rsid w:val="002B225E"/>
    <w:rsid w:val="00317E47"/>
    <w:rsid w:val="00323F01"/>
    <w:rsid w:val="003277AE"/>
    <w:rsid w:val="00335471"/>
    <w:rsid w:val="00380CC6"/>
    <w:rsid w:val="00395E0C"/>
    <w:rsid w:val="003D002C"/>
    <w:rsid w:val="003E6958"/>
    <w:rsid w:val="0040215D"/>
    <w:rsid w:val="00427DF4"/>
    <w:rsid w:val="00430855"/>
    <w:rsid w:val="004322CD"/>
    <w:rsid w:val="00441D61"/>
    <w:rsid w:val="00461D20"/>
    <w:rsid w:val="0049289E"/>
    <w:rsid w:val="004A2FBA"/>
    <w:rsid w:val="004B2CB9"/>
    <w:rsid w:val="004C7044"/>
    <w:rsid w:val="004F162B"/>
    <w:rsid w:val="004F75A2"/>
    <w:rsid w:val="0051481D"/>
    <w:rsid w:val="00526729"/>
    <w:rsid w:val="0053561E"/>
    <w:rsid w:val="00543E20"/>
    <w:rsid w:val="0054429F"/>
    <w:rsid w:val="005B1026"/>
    <w:rsid w:val="005D2CA2"/>
    <w:rsid w:val="005D6EF1"/>
    <w:rsid w:val="00600D1A"/>
    <w:rsid w:val="00604841"/>
    <w:rsid w:val="00625224"/>
    <w:rsid w:val="00634970"/>
    <w:rsid w:val="00642290"/>
    <w:rsid w:val="0066202F"/>
    <w:rsid w:val="00676386"/>
    <w:rsid w:val="006856FF"/>
    <w:rsid w:val="006A504E"/>
    <w:rsid w:val="006A7795"/>
    <w:rsid w:val="006B0E68"/>
    <w:rsid w:val="006B6C12"/>
    <w:rsid w:val="006C4E7B"/>
    <w:rsid w:val="00721EE8"/>
    <w:rsid w:val="00722207"/>
    <w:rsid w:val="0072350D"/>
    <w:rsid w:val="007332A7"/>
    <w:rsid w:val="00783BB1"/>
    <w:rsid w:val="007A0AC4"/>
    <w:rsid w:val="007A741F"/>
    <w:rsid w:val="007F5B2D"/>
    <w:rsid w:val="00804644"/>
    <w:rsid w:val="00815AB0"/>
    <w:rsid w:val="00821B1E"/>
    <w:rsid w:val="00872CDF"/>
    <w:rsid w:val="00877D19"/>
    <w:rsid w:val="0088136E"/>
    <w:rsid w:val="008970D1"/>
    <w:rsid w:val="008A30F6"/>
    <w:rsid w:val="008D6963"/>
    <w:rsid w:val="008E14E2"/>
    <w:rsid w:val="008E3445"/>
    <w:rsid w:val="008E36C1"/>
    <w:rsid w:val="00900C98"/>
    <w:rsid w:val="00913B00"/>
    <w:rsid w:val="0094269A"/>
    <w:rsid w:val="00942FA6"/>
    <w:rsid w:val="009458FD"/>
    <w:rsid w:val="00951118"/>
    <w:rsid w:val="009570B6"/>
    <w:rsid w:val="009811DB"/>
    <w:rsid w:val="009C4241"/>
    <w:rsid w:val="009C5C36"/>
    <w:rsid w:val="009D22D4"/>
    <w:rsid w:val="009F5F24"/>
    <w:rsid w:val="00A0343C"/>
    <w:rsid w:val="00A22A95"/>
    <w:rsid w:val="00A24803"/>
    <w:rsid w:val="00A27006"/>
    <w:rsid w:val="00A30EB9"/>
    <w:rsid w:val="00A73814"/>
    <w:rsid w:val="00A81B74"/>
    <w:rsid w:val="00AB01B6"/>
    <w:rsid w:val="00AB7A4E"/>
    <w:rsid w:val="00AF742B"/>
    <w:rsid w:val="00B25514"/>
    <w:rsid w:val="00B25F20"/>
    <w:rsid w:val="00B3106E"/>
    <w:rsid w:val="00B344F1"/>
    <w:rsid w:val="00B45A89"/>
    <w:rsid w:val="00B509F9"/>
    <w:rsid w:val="00B62A21"/>
    <w:rsid w:val="00B7545D"/>
    <w:rsid w:val="00B93152"/>
    <w:rsid w:val="00BA2E4C"/>
    <w:rsid w:val="00BA5316"/>
    <w:rsid w:val="00BB435B"/>
    <w:rsid w:val="00BE4AC1"/>
    <w:rsid w:val="00BF75CF"/>
    <w:rsid w:val="00C3017F"/>
    <w:rsid w:val="00C376B5"/>
    <w:rsid w:val="00C55393"/>
    <w:rsid w:val="00C60BD6"/>
    <w:rsid w:val="00C82859"/>
    <w:rsid w:val="00CD2A37"/>
    <w:rsid w:val="00CD4C81"/>
    <w:rsid w:val="00CF7838"/>
    <w:rsid w:val="00D22EF8"/>
    <w:rsid w:val="00D3377C"/>
    <w:rsid w:val="00D96EF5"/>
    <w:rsid w:val="00DB13F3"/>
    <w:rsid w:val="00DE6B4C"/>
    <w:rsid w:val="00E03E8F"/>
    <w:rsid w:val="00E11847"/>
    <w:rsid w:val="00E42F45"/>
    <w:rsid w:val="00E46C6B"/>
    <w:rsid w:val="00E64FF4"/>
    <w:rsid w:val="00E863EA"/>
    <w:rsid w:val="00E9489A"/>
    <w:rsid w:val="00EA007A"/>
    <w:rsid w:val="00ED1D18"/>
    <w:rsid w:val="00EE11C4"/>
    <w:rsid w:val="00F1653A"/>
    <w:rsid w:val="00F25A26"/>
    <w:rsid w:val="00F41197"/>
    <w:rsid w:val="00F428B8"/>
    <w:rsid w:val="00F53A16"/>
    <w:rsid w:val="00F54B51"/>
    <w:rsid w:val="00F67FB7"/>
    <w:rsid w:val="00F919E0"/>
    <w:rsid w:val="00F92489"/>
    <w:rsid w:val="00FA578A"/>
    <w:rsid w:val="00FD0B18"/>
    <w:rsid w:val="00FD6945"/>
    <w:rsid w:val="00FF532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05A4FE61"/>
  <w15:chartTrackingRefBased/>
  <w15:docId w15:val="{C200FE1F-E564-48FB-B1E5-03E341E3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4C8"/>
    <w:rPr>
      <w:sz w:val="22"/>
      <w:szCs w:val="22"/>
    </w:rPr>
  </w:style>
  <w:style w:type="paragraph" w:styleId="Heading1">
    <w:name w:val="heading 1"/>
    <w:basedOn w:val="Normal"/>
    <w:next w:val="Normal"/>
    <w:link w:val="Heading1Char"/>
    <w:qFormat/>
    <w:rsid w:val="008E3445"/>
    <w:pPr>
      <w:keepNext/>
      <w:keepLines/>
      <w:spacing w:before="240"/>
      <w:outlineLvl w:val="0"/>
    </w:pPr>
    <w:rPr>
      <w:rFonts w:asciiTheme="minorHAnsi" w:eastAsiaTheme="majorEastAsia" w:hAnsiTheme="min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4644"/>
    <w:pPr>
      <w:tabs>
        <w:tab w:val="center" w:pos="4153"/>
        <w:tab w:val="right" w:pos="8306"/>
      </w:tabs>
    </w:pPr>
    <w:rPr>
      <w:rFonts w:ascii="Arial Tilde" w:hAnsi="Arial Tilde"/>
      <w:szCs w:val="20"/>
      <w:lang w:val="en-GB" w:eastAsia="en-US"/>
    </w:rPr>
  </w:style>
  <w:style w:type="character" w:styleId="PageNumber">
    <w:name w:val="page number"/>
    <w:basedOn w:val="DefaultParagraphFont"/>
    <w:rsid w:val="00804644"/>
  </w:style>
  <w:style w:type="character" w:styleId="Hyperlink">
    <w:name w:val="Hyperlink"/>
    <w:rsid w:val="00F1653A"/>
    <w:rPr>
      <w:color w:val="0000FF"/>
      <w:u w:val="single"/>
    </w:rPr>
  </w:style>
  <w:style w:type="paragraph" w:styleId="Footer">
    <w:name w:val="footer"/>
    <w:basedOn w:val="Normal"/>
    <w:link w:val="FooterChar"/>
    <w:uiPriority w:val="99"/>
    <w:rsid w:val="00FD6945"/>
    <w:pPr>
      <w:tabs>
        <w:tab w:val="center" w:pos="4153"/>
        <w:tab w:val="right" w:pos="8306"/>
      </w:tabs>
    </w:pPr>
  </w:style>
  <w:style w:type="character" w:customStyle="1" w:styleId="FooterChar">
    <w:name w:val="Footer Char"/>
    <w:link w:val="Footer"/>
    <w:uiPriority w:val="99"/>
    <w:rsid w:val="00FD6945"/>
    <w:rPr>
      <w:sz w:val="24"/>
      <w:szCs w:val="24"/>
    </w:rPr>
  </w:style>
  <w:style w:type="character" w:customStyle="1" w:styleId="HeaderChar">
    <w:name w:val="Header Char"/>
    <w:link w:val="Header"/>
    <w:uiPriority w:val="99"/>
    <w:rsid w:val="00FD6945"/>
    <w:rPr>
      <w:rFonts w:ascii="Arial Tilde" w:hAnsi="Arial Tilde"/>
      <w:sz w:val="22"/>
      <w:lang w:val="en-GB" w:eastAsia="en-US"/>
    </w:rPr>
  </w:style>
  <w:style w:type="table" w:styleId="TableGrid">
    <w:name w:val="Table Grid"/>
    <w:basedOn w:val="TableNormal"/>
    <w:rsid w:val="00070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811D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rsid w:val="008E3445"/>
    <w:rPr>
      <w:rFonts w:asciiTheme="minorHAnsi" w:eastAsiaTheme="majorEastAsia" w:hAnsiTheme="minorHAnsi" w:cstheme="majorBidi"/>
      <w:b/>
      <w:sz w:val="24"/>
      <w:szCs w:val="32"/>
    </w:rPr>
  </w:style>
  <w:style w:type="paragraph" w:styleId="FootnoteText">
    <w:name w:val="footnote text"/>
    <w:aliases w:val=" Char Char Char,Footnote Text1,Footnote Text1 Char,Footnote Text1 Char Char Char,Char Char Char,Footnote,Fußnote,Fußnotentext Char Char Char,Fußnotentext Char Char Char Char Char Char Char Char Char Char,single spa, Char Char,Atsauces,Ch"/>
    <w:basedOn w:val="Normal"/>
    <w:link w:val="FootnoteTextChar"/>
    <w:qFormat/>
    <w:rsid w:val="000964C8"/>
    <w:pPr>
      <w:spacing w:line="360" w:lineRule="auto"/>
    </w:pPr>
    <w:rPr>
      <w:rFonts w:asciiTheme="minorHAnsi" w:hAnsiTheme="minorHAnsi"/>
      <w:sz w:val="20"/>
      <w:szCs w:val="20"/>
    </w:rPr>
  </w:style>
  <w:style w:type="character" w:customStyle="1" w:styleId="FootnoteTextChar">
    <w:name w:val="Footnote Text Char"/>
    <w:aliases w:val=" Char Char Char Char,Footnote Text1 Char1,Footnote Text1 Char Char,Footnote Text1 Char Char Char Char,Char Char Char Char,Footnote Char,Fußnote Char,Fußnotentext Char Char Char Char,single spa Char, Char Char Char1,Atsauces Char"/>
    <w:basedOn w:val="DefaultParagraphFont"/>
    <w:link w:val="FootnoteText"/>
    <w:qFormat/>
    <w:rsid w:val="000964C8"/>
    <w:rPr>
      <w:rFonts w:asciiTheme="minorHAnsi" w:hAnsiTheme="minorHAnsi"/>
    </w:rPr>
  </w:style>
  <w:style w:type="character" w:styleId="FootnoteReference">
    <w:name w:val="footnote reference"/>
    <w:aliases w:val="Footnote Reference Number,Footnote Refernece,-E Fußnotenzeichen,BVI fnr,E,E FNZ,Footnote Reference Superscript,Footnote reference number,Footnote symbol,Footnotes refss,Odwołanie przypisu,Ref,SUPERS,Times 10 Point,de nota al pie,ftref"/>
    <w:link w:val="Char2"/>
    <w:qFormat/>
    <w:rsid w:val="00C55393"/>
    <w:rPr>
      <w:vertAlign w:val="superscript"/>
    </w:rPr>
  </w:style>
  <w:style w:type="paragraph" w:customStyle="1" w:styleId="Char2">
    <w:name w:val="Char2"/>
    <w:basedOn w:val="Normal"/>
    <w:next w:val="Normal"/>
    <w:link w:val="FootnoteReference"/>
    <w:rsid w:val="00C55393"/>
    <w:pPr>
      <w:spacing w:after="160" w:line="240" w:lineRule="exact"/>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5896</Words>
  <Characters>3362</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Tiesībsarga birojs</dc:creator>
  <cp:lastModifiedBy>Dace Pinka</cp:lastModifiedBy>
  <cp:revision>7</cp:revision>
  <cp:lastPrinted>2019-10-18T13:54:00Z</cp:lastPrinted>
  <dcterms:created xsi:type="dcterms:W3CDTF">2025-10-09T10:57:00Z</dcterms:created>
  <dcterms:modified xsi:type="dcterms:W3CDTF">2025-12-19T08:46:00Z</dcterms:modified>
</cp:coreProperties>
</file>